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7365D"/>
          <w:sz w:val="52"/>
        </w:rPr>
        <w:t>ENTERPRISE CORPORATED</w:t>
      </w:r>
    </w:p>
    <w:p>
      <w:pPr>
        <w:jc w:val="center"/>
      </w:pPr>
      <w:r>
        <w:rPr>
          <w:rFonts w:ascii="Arial" w:hAnsi="Arial"/>
          <w:b/>
          <w:color w:val="2F5597"/>
          <w:sz w:val="34"/>
        </w:rPr>
        <w:t>WEBSITE LEGAL, PRIVACY, COOKIE, AI, IP, SECURITY AND COMMERCIAL TERMS SUITE</w:t>
      </w:r>
    </w:p>
    <w:p>
      <w:pPr>
        <w:jc w:val="center"/>
      </w:pPr>
      <w:r>
        <w:rPr>
          <w:sz w:val="24"/>
        </w:rPr>
        <w:br/>
        <w:t>Version 1.0</w:t>
        <w:br/>
        <w:t>29 July 2026</w:t>
        <w:br/>
        <w:t>Australia/Sydney</w:t>
      </w:r>
    </w:p>
    <w:tbl>
      <w:tblPr>
        <w:tblW w:type="auto" w:w="0"/>
        <w:jc w:val="center"/>
        <w:tblLayout w:type="fixed"/>
        <w:tblLook w:firstColumn="1" w:firstRow="1" w:lastColumn="0" w:lastRow="0" w:noHBand="0" w:noVBand="1" w:val="04A0"/>
      </w:tblPr>
      <w:tblGrid>
        <w:gridCol w:w="8787"/>
      </w:tblGrid>
      <w:tr>
        <w:trPr>
          <w:tblHeader w:val="true"/>
        </w:trPr>
        <w:tc>
          <w:tcPr>
            <w:tcW w:type="dxa" w:w="9638"/>
            <w:shd w:fill="FFF2CC"/>
            <w:vAlign w:val="center"/>
          </w:tcPr>
          <w:p>
            <w:r/>
            <w:r>
              <w:rPr>
                <w:rFonts w:ascii="Arial" w:hAnsi="Arial"/>
                <w:b/>
                <w:sz w:val="20"/>
              </w:rPr>
              <w:t>COUNSEL-REVIEW DRAFT - NOT FINAL FOR PUBLICATION</w:t>
              <w:br/>
              <w:t>Complete all publication gates, verify factual data flows, obtain Australian solicitor review, and obtain final human release approval.</w:t>
            </w:r>
          </w:p>
        </w:tc>
      </w:tr>
    </w:tbl>
    <w:p/>
    <w:p/>
    <w:tbl>
      <w:tblPr>
        <w:tblStyle w:val="TableGrid"/>
        <w:tblW w:type="auto" w:w="0"/>
        <w:jc w:val="center"/>
        <w:tblLook w:firstColumn="1" w:firstRow="1" w:lastColumn="0" w:lastRow="0" w:noHBand="0" w:noVBand="1" w:val="04A0"/>
      </w:tblPr>
      <w:tblGrid>
        <w:gridCol w:w="4819"/>
        <w:gridCol w:w="4819"/>
      </w:tblGrid>
      <w:tr>
        <w:trPr>
          <w:tblHeader w:val="true"/>
        </w:trPr>
        <w:tc>
          <w:tcPr>
            <w:tcW w:type="dxa" w:w="4819"/>
            <w:vAlign w:val="center"/>
            <w:shd w:fill="D9EAF7"/>
          </w:tcPr>
          <w:p>
            <w:r/>
            <w:r>
              <w:rPr>
                <w:rFonts w:ascii="Arial" w:hAnsi="Arial"/>
                <w:b/>
                <w:sz w:val="17"/>
              </w:rPr>
              <w:t>Document ID</w:t>
            </w:r>
          </w:p>
        </w:tc>
        <w:tc>
          <w:tcPr>
            <w:tcW w:type="dxa" w:w="4819"/>
            <w:vAlign w:val="center"/>
            <w:shd w:fill="F4F8FB"/>
          </w:tcPr>
          <w:p>
            <w:r/>
            <w:r>
              <w:rPr>
                <w:rFonts w:ascii="Arial" w:hAnsi="Arial"/>
                <w:b w:val="0"/>
                <w:sz w:val="17"/>
              </w:rPr>
              <w:t>EC-WEB-LEGAL-SUITE-20260729-V1.0</w:t>
            </w:r>
          </w:p>
        </w:tc>
      </w:tr>
      <w:tr>
        <w:tc>
          <w:tcPr>
            <w:tcW w:type="dxa" w:w="4819"/>
            <w:vAlign w:val="center"/>
          </w:tcPr>
          <w:p>
            <w:r/>
            <w:r>
              <w:rPr>
                <w:rFonts w:ascii="Arial" w:hAnsi="Arial"/>
                <w:b/>
                <w:sz w:val="17"/>
              </w:rPr>
              <w:t>Legal operator</w:t>
            </w:r>
          </w:p>
        </w:tc>
        <w:tc>
          <w:tcPr>
            <w:tcW w:type="dxa" w:w="4819"/>
            <w:vAlign w:val="center"/>
          </w:tcPr>
          <w:p>
            <w:r/>
            <w:r>
              <w:rPr>
                <w:rFonts w:ascii="Arial" w:hAnsi="Arial"/>
                <w:b w:val="0"/>
                <w:sz w:val="17"/>
              </w:rPr>
              <w:t>Michael Phillip Peters ABN 26 569 038 118 trading as Enterprise Corporated</w:t>
            </w:r>
          </w:p>
        </w:tc>
      </w:tr>
      <w:tr>
        <w:tc>
          <w:tcPr>
            <w:tcW w:type="dxa" w:w="4819"/>
            <w:vAlign w:val="center"/>
            <w:shd w:fill="D9EAF7"/>
          </w:tcPr>
          <w:p>
            <w:r/>
            <w:r>
              <w:rPr>
                <w:rFonts w:ascii="Arial" w:hAnsi="Arial"/>
                <w:b/>
                <w:sz w:val="17"/>
              </w:rPr>
              <w:t>Legal contact</w:t>
            </w:r>
          </w:p>
        </w:tc>
        <w:tc>
          <w:tcPr>
            <w:tcW w:type="dxa" w:w="4819"/>
            <w:vAlign w:val="center"/>
            <w:shd w:fill="F4F8FB"/>
          </w:tcPr>
          <w:p>
            <w:r/>
            <w:r>
              <w:rPr>
                <w:rFonts w:ascii="Arial" w:hAnsi="Arial"/>
                <w:b w:val="0"/>
                <w:sz w:val="17"/>
              </w:rPr>
              <w:t>legal@enterprisecorporated.com</w:t>
            </w:r>
          </w:p>
        </w:tc>
      </w:tr>
      <w:tr>
        <w:tc>
          <w:tcPr>
            <w:tcW w:type="dxa" w:w="4819"/>
            <w:vAlign w:val="center"/>
          </w:tcPr>
          <w:p>
            <w:r/>
            <w:r>
              <w:rPr>
                <w:rFonts w:ascii="Arial" w:hAnsi="Arial"/>
                <w:b/>
                <w:sz w:val="17"/>
              </w:rPr>
              <w:t>Primary jurisdiction</w:t>
            </w:r>
          </w:p>
        </w:tc>
        <w:tc>
          <w:tcPr>
            <w:tcW w:type="dxa" w:w="4819"/>
            <w:vAlign w:val="center"/>
          </w:tcPr>
          <w:p>
            <w:r/>
            <w:r>
              <w:rPr>
                <w:rFonts w:ascii="Arial" w:hAnsi="Arial"/>
                <w:b w:val="0"/>
                <w:sz w:val="17"/>
              </w:rPr>
              <w:t>New South Wales, Australia</w:t>
            </w:r>
          </w:p>
        </w:tc>
      </w:tr>
      <w:tr>
        <w:tc>
          <w:tcPr>
            <w:tcW w:type="dxa" w:w="4819"/>
            <w:vAlign w:val="center"/>
            <w:shd w:fill="D9EAF7"/>
          </w:tcPr>
          <w:p>
            <w:r/>
            <w:r>
              <w:rPr>
                <w:rFonts w:ascii="Arial" w:hAnsi="Arial"/>
                <w:b/>
                <w:sz w:val="17"/>
              </w:rPr>
              <w:t>Covered domains</w:t>
            </w:r>
          </w:p>
        </w:tc>
        <w:tc>
          <w:tcPr>
            <w:tcW w:type="dxa" w:w="4819"/>
            <w:vAlign w:val="center"/>
            <w:shd w:fill="F4F8FB"/>
          </w:tcPr>
          <w:p>
            <w:r/>
            <w:r>
              <w:rPr>
                <w:rFonts w:ascii="Arial" w:hAnsi="Arial"/>
                <w:b w:val="0"/>
                <w:sz w:val="17"/>
              </w:rPr>
              <w:t>www.enterprisecorporated.com, www.contextweaver.ai, www.inventaos.com, www.quantumsecurityshield.com, www.enterprisesholdings.com</w:t>
            </w:r>
          </w:p>
        </w:tc>
      </w:tr>
      <w:tr>
        <w:tc>
          <w:tcPr>
            <w:tcW w:type="dxa" w:w="4819"/>
            <w:vAlign w:val="center"/>
          </w:tcPr>
          <w:p>
            <w:r/>
            <w:r>
              <w:rPr>
                <w:rFonts w:ascii="Arial" w:hAnsi="Arial"/>
                <w:b/>
                <w:sz w:val="17"/>
              </w:rPr>
              <w:t>Prepared timestamp</w:t>
            </w:r>
          </w:p>
        </w:tc>
        <w:tc>
          <w:tcPr>
            <w:tcW w:type="dxa" w:w="4819"/>
            <w:vAlign w:val="center"/>
          </w:tcPr>
          <w:p>
            <w:r/>
            <w:r>
              <w:rPr>
                <w:rFonts w:ascii="Arial" w:hAnsi="Arial"/>
                <w:b w:val="0"/>
                <w:sz w:val="17"/>
              </w:rPr>
              <w:t>2026-07-29T20:37:00+10:00</w:t>
            </w:r>
          </w:p>
        </w:tc>
      </w:tr>
      <w:tr>
        <w:tc>
          <w:tcPr>
            <w:tcW w:type="dxa" w:w="4819"/>
            <w:vAlign w:val="center"/>
            <w:shd w:fill="D9EAF7"/>
          </w:tcPr>
          <w:p>
            <w:r/>
            <w:r>
              <w:rPr>
                <w:rFonts w:ascii="Arial" w:hAnsi="Arial"/>
                <w:b/>
                <w:sz w:val="17"/>
              </w:rPr>
              <w:t>UTC timestamp</w:t>
            </w:r>
          </w:p>
        </w:tc>
        <w:tc>
          <w:tcPr>
            <w:tcW w:type="dxa" w:w="4819"/>
            <w:vAlign w:val="center"/>
            <w:shd w:fill="F4F8FB"/>
          </w:tcPr>
          <w:p>
            <w:r/>
            <w:r>
              <w:rPr>
                <w:rFonts w:ascii="Arial" w:hAnsi="Arial"/>
                <w:b w:val="0"/>
                <w:sz w:val="17"/>
              </w:rPr>
              <w:t>2026-07-29T10:37:00+00:00</w:t>
            </w:r>
          </w:p>
        </w:tc>
      </w:tr>
      <w:tr>
        <w:tc>
          <w:tcPr>
            <w:tcW w:type="dxa" w:w="4819"/>
            <w:vAlign w:val="center"/>
          </w:tcPr>
          <w:p>
            <w:r/>
            <w:r>
              <w:rPr>
                <w:rFonts w:ascii="Arial" w:hAnsi="Arial"/>
                <w:b/>
                <w:sz w:val="17"/>
              </w:rPr>
              <w:t>Confidentiality</w:t>
            </w:r>
          </w:p>
        </w:tc>
        <w:tc>
          <w:tcPr>
            <w:tcW w:type="dxa" w:w="4819"/>
            <w:vAlign w:val="center"/>
          </w:tcPr>
          <w:p>
            <w:r/>
            <w:r>
              <w:rPr>
                <w:rFonts w:ascii="Arial" w:hAnsi="Arial"/>
                <w:b w:val="0"/>
                <w:sz w:val="17"/>
              </w:rPr>
              <w:t>Internal legal drafting and controlled publication preparation</w:t>
            </w:r>
          </w:p>
        </w:tc>
      </w:tr>
    </w:tbl>
    <w:p>
      <w:pPr>
        <w:jc w:val="center"/>
      </w:pPr>
      <w:r>
        <w:rPr>
          <w:i/>
          <w:color w:val="5A5A5A"/>
          <w:sz w:val="18"/>
        </w:rPr>
        <w:br/>
        <w:t>Prepared as an original integrated suite. Not copied from the supplied IP Group Australia policy.</w:t>
      </w:r>
    </w:p>
    <w:p>
      <w:r>
        <w:br w:type="page"/>
      </w:r>
    </w:p>
    <w:p>
      <w:pPr>
        <w:pStyle w:val="Heading1"/>
      </w:pPr>
      <w:r>
        <w:t>CONTENTS</w:t>
      </w:r>
    </w:p>
    <w:p>
      <w:pPr>
        <w:pStyle w:val="ListNumber"/>
      </w:pPr>
      <w:r>
        <w:t>Master Introduction and Document Control</w:t>
      </w:r>
    </w:p>
    <w:p>
      <w:pPr>
        <w:pStyle w:val="ListNumber"/>
      </w:pPr>
      <w:r>
        <w:t>Website Legal Notice and Disclaimer</w:t>
      </w:r>
    </w:p>
    <w:p>
      <w:pPr>
        <w:pStyle w:val="ListNumber"/>
      </w:pPr>
      <w:r>
        <w:t>Terms and Conditions of Use</w:t>
      </w:r>
    </w:p>
    <w:p>
      <w:pPr>
        <w:pStyle w:val="ListNumber"/>
      </w:pPr>
      <w:r>
        <w:t>Privacy Policy</w:t>
      </w:r>
    </w:p>
    <w:p>
      <w:pPr>
        <w:pStyle w:val="ListNumber"/>
      </w:pPr>
      <w:r>
        <w:t>Cookie and Similar Technologies Statement</w:t>
      </w:r>
    </w:p>
    <w:p>
      <w:pPr>
        <w:pStyle w:val="ListNumber"/>
      </w:pPr>
      <w:r>
        <w:t>AI and Automated Systems Notice</w:t>
      </w:r>
    </w:p>
    <w:p>
      <w:pPr>
        <w:pStyle w:val="ListNumber"/>
      </w:pPr>
      <w:r>
        <w:t>Acceptable Use Policy</w:t>
      </w:r>
    </w:p>
    <w:p>
      <w:pPr>
        <w:pStyle w:val="ListNumber"/>
      </w:pPr>
      <w:r>
        <w:t>Intellectual Property, Patent and Confidentiality Notice</w:t>
      </w:r>
    </w:p>
    <w:p>
      <w:pPr>
        <w:pStyle w:val="ListNumber"/>
      </w:pPr>
      <w:r>
        <w:t>Security and Responsible Disclosure Policy</w:t>
      </w:r>
    </w:p>
    <w:p>
      <w:pPr>
        <w:pStyle w:val="ListNumber"/>
      </w:pPr>
      <w:r>
        <w:t>Enterprise Evaluation, Pilot and Licensing Terms</w:t>
      </w:r>
    </w:p>
    <w:p>
      <w:pPr>
        <w:pStyle w:val="ListNumber"/>
      </w:pPr>
      <w:r>
        <w:t>Accessibility Statement</w:t>
      </w:r>
    </w:p>
    <w:p>
      <w:pPr>
        <w:pStyle w:val="ListNumber"/>
      </w:pPr>
      <w:r>
        <w:t>Email Legal Notices</w:t>
      </w:r>
    </w:p>
    <w:p>
      <w:pPr>
        <w:pStyle w:val="ListNumber"/>
      </w:pPr>
      <w:r>
        <w:t>Website Footer, Collection Notices and Link Architecture</w:t>
      </w:r>
    </w:p>
    <w:p>
      <w:pPr>
        <w:pStyle w:val="ListNumber"/>
      </w:pPr>
      <w:r>
        <w:t>Global Privacy Addendum</w:t>
      </w:r>
    </w:p>
    <w:p>
      <w:pPr>
        <w:pStyle w:val="ListNumber"/>
      </w:pPr>
      <w:r>
        <w:t>Implementation, Data Map and Publication Checklist</w:t>
      </w:r>
    </w:p>
    <w:p>
      <w:pPr>
        <w:pStyle w:val="ListNumber"/>
      </w:pPr>
      <w:r>
        <w:t>Legal Authorities and Review Notes</w:t>
      </w:r>
    </w:p>
    <w:p>
      <w:r>
        <w:br w:type="page"/>
      </w:r>
    </w:p>
    <w:p>
      <w:pPr>
        <w:pStyle w:val="Heading1"/>
      </w:pPr>
      <w:r>
        <w:t>ENTERPRISE CORPORATED WEBSITE LEGAL AND REGULATORY SUITE</w:t>
      </w:r>
    </w:p>
    <w:p>
      <w:r>
        <w:t>Document ID: EC-WEB-LEGAL-SUITE-20260729-V1.0 Version: 1.0 Effective date proposed: 29 July 2026 Prepared for: Michael Phillip Peters, CEO and Inventor Legal operator: Michael Phillip Peters ABN 26 569 038 118 trading as Enterprise Corporated Legal contact: legal@enterprisecorporated.com Primary jurisdiction: New South Wales, Australia Status: COUNSEL-REVIEW DRAFT - COMPLETE THE PUBLICATION GATES BEFORE USE</w:t>
      </w:r>
    </w:p>
    <w:p>
      <w:pPr>
        <w:pStyle w:val="Heading2"/>
      </w:pPr>
      <w:r>
        <w:t>Important legal status</w:t>
      </w:r>
    </w:p>
    <w:p>
      <w:r>
        <w:t>This suite is an original, integrated website legal framework. It is not copied from the IP Group Australia policy supplied for context. It is drafted for an Australian-operated technology, intellectual-property, AI, cybersecurity, evidence, licensing and commercial-services website group.</w:t>
      </w:r>
    </w:p>
    <w:p>
      <w:r>
        <w:t>The Australian Business Register currently records ABN 26 569 038 118 to Michael Phillip Peters as an Individual/Sole Trader. Accordingly, the website operator should be identified as Michael Phillip Peters ABN 26 569 038 118 trading as Enterprise Corporated. Do not describe Enterprise Corporated as a proprietary limited company, corporation or separate incorporated legal entity unless and until that structure is registered and verified.</w:t>
      </w:r>
    </w:p>
    <w:p>
      <w:r>
        <w:t>No website policy can guarantee legal compliance by wording alone. Compliance depends on the actual website architecture, cookies and scripts, hosting and AI providers, data flows, payment arrangements, security controls, marketing practices, customer contracts and operational conduct. This suite therefore contains mandatory publication gates and factual fields that must be completed before release.</w:t>
      </w:r>
    </w:p>
    <w:p>
      <w:pPr>
        <w:pStyle w:val="Heading2"/>
      </w:pPr>
      <w:r>
        <w:t>Covered sites and services</w:t>
      </w:r>
    </w:p>
    <w:p>
      <w:r>
        <w:t>This suite is intended to operate as an umbrella framework for the following authorised sites and their approved subdomains, portals, applications and successor URLs:</w:t>
      </w:r>
    </w:p>
    <w:p>
      <w:pPr>
        <w:pStyle w:val="ListBullet"/>
      </w:pPr>
      <w:r>
        <w:t>www.enterprisecorporated.com</w:t>
      </w:r>
    </w:p>
    <w:p>
      <w:pPr>
        <w:pStyle w:val="ListBullet"/>
      </w:pPr>
      <w:r>
        <w:t>www.contextweaver.ai</w:t>
      </w:r>
    </w:p>
    <w:p>
      <w:pPr>
        <w:pStyle w:val="ListBullet"/>
      </w:pPr>
      <w:r>
        <w:t>www.inventaos.com</w:t>
      </w:r>
    </w:p>
    <w:p>
      <w:pPr>
        <w:pStyle w:val="ListBullet"/>
      </w:pPr>
      <w:r>
        <w:t>www.quantumsecurityshield.com</w:t>
      </w:r>
    </w:p>
    <w:p>
      <w:pPr>
        <w:pStyle w:val="ListBullet"/>
      </w:pPr>
      <w:r>
        <w:t>www.enterprisesholdings.com</w:t>
      </w:r>
    </w:p>
    <w:p>
      <w:r>
        <w:t>It may also apply to authorised customer portals, AI interfaces, application programming interfaces, developer services, evidence verification tools, patent and licensing portals, evaluation environments, marketplaces, documentation centres and related online services expressly linked to this suite.</w:t>
      </w:r>
    </w:p>
    <w:p>
      <w:pPr>
        <w:pStyle w:val="Heading2"/>
      </w:pPr>
      <w:r>
        <w:t>Order of documents</w:t>
      </w:r>
    </w:p>
    <w:p>
      <w:r>
        <w:t>Where documents conflict, the following order applies unless a signed agreement states otherwise:</w:t>
      </w:r>
    </w:p>
    <w:p>
      <w:pPr>
        <w:ind w:left="340" w:hanging="340"/>
      </w:pPr>
      <w:r>
        <w:t>1. a signed order form, licence, pilot agreement, services agreement or non-disclosure agreement;</w:t>
      </w:r>
    </w:p>
    <w:p>
      <w:pPr>
        <w:ind w:left="340" w:hanging="340"/>
      </w:pPr>
      <w:r>
        <w:t>2. any service-specific terms expressly accepted for the relevant service;</w:t>
      </w:r>
    </w:p>
    <w:p>
      <w:pPr>
        <w:ind w:left="340" w:hanging="340"/>
      </w:pPr>
      <w:r>
        <w:t>3. the Enterprise Evaluation and Licensing Terms;</w:t>
      </w:r>
    </w:p>
    <w:p>
      <w:pPr>
        <w:ind w:left="340" w:hanging="340"/>
      </w:pPr>
      <w:r>
        <w:t>4. the Terms and Conditions of Use;</w:t>
      </w:r>
    </w:p>
    <w:p>
      <w:pPr>
        <w:ind w:left="340" w:hanging="340"/>
      </w:pPr>
      <w:r>
        <w:t>5. the Privacy Policy, Cookie Statement and other notices in this suite.</w:t>
      </w:r>
    </w:p>
    <w:p>
      <w:r>
        <w:t>Mandatory rights under applicable law prevail over inconsistent contractual wording.</w:t>
      </w:r>
    </w:p>
    <w:p>
      <w:r>
        <w:br w:type="page"/>
      </w:r>
    </w:p>
    <w:p>
      <w:pPr>
        <w:pStyle w:val="Heading1"/>
      </w:pPr>
      <w:r>
        <w:t>WEBSITE LEGAL NOTICE AND DISCLAIMER</w:t>
      </w:r>
    </w:p>
    <w:p>
      <w:r>
        <w:t>Effective date: 29 July 2026</w:t>
      </w:r>
    </w:p>
    <w:p>
      <w:pPr>
        <w:pStyle w:val="Heading2"/>
      </w:pPr>
      <w:r>
        <w:t>1. Operator and scope</w:t>
      </w:r>
    </w:p>
    <w:p>
      <w:r>
        <w:t>The websites and online services linked to this notice are operated by Michael Phillip Peters ABN 26 569 038 118 trading as Enterprise Corporated (Enterprise Corporated, we, us or our), from New South Wales, Australia. Our legal contact is legal@enterprisecorporated.com.</w:t>
      </w:r>
    </w:p>
    <w:p>
      <w:r>
        <w:t>This notice applies to the public websites, content, demonstrations, documents, portals, interfaces and online services that link to it. A separate signed agreement may apply to enterprise evaluations, pilots, licensing, consulting, development, evidence services or confidential disclosures.</w:t>
      </w:r>
    </w:p>
    <w:p>
      <w:pPr>
        <w:pStyle w:val="Heading2"/>
      </w:pPr>
      <w:r>
        <w:t>2. General information only</w:t>
      </w:r>
    </w:p>
    <w:p>
      <w:r>
        <w:t>Website material is provided for general information, preliminary evaluation and lawful business engagement. It is not legal advice, patent-attorney advice, financial-product advice, investment advice, tax advice, accounting advice, medical advice, engineering certification, cybersecurity certification, forensic expert opinion or any other regulated professional advice.</w:t>
      </w:r>
    </w:p>
    <w:p>
      <w:r>
        <w:t>You must obtain advice from appropriately qualified professionals before acting on information where legal rights, patent filings, regulatory compliance, safety, security, investment, financial loss, health, critical infrastructure or material commercial decisions are involved.</w:t>
      </w:r>
    </w:p>
    <w:p>
      <w:pPr>
        <w:pStyle w:val="Heading2"/>
      </w:pPr>
      <w:r>
        <w:t>3. No professional or fiduciary relationship</w:t>
      </w:r>
    </w:p>
    <w:p>
      <w:r>
        <w:t>Accessing the website, sending an enquiry, receiving a response, viewing a demonstration, downloading public material or using an AI interface does not create a solicitor-client, patent-attorney-client, fiduciary, agency, partnership, employment, joint venture, adviser-client or other professional relationship.</w:t>
      </w:r>
    </w:p>
    <w:p>
      <w:r>
        <w:t>No duty of confidentiality arises merely because information is sent through a public website or ordinary email channel. Confidential, privileged, unpublished patent, private-key, trade-secret, controlled or commercially sensitive information must not be submitted unless an authorised secure channel and an applicable written confidentiality agreement have been confirmed.</w:t>
      </w:r>
    </w:p>
    <w:p>
      <w:pPr>
        <w:pStyle w:val="Heading2"/>
      </w:pPr>
      <w:r>
        <w:t>4. No offer, prospectus or solicitation</w:t>
      </w:r>
    </w:p>
    <w:p>
      <w:r>
        <w:t>Website content is not a binding offer, prospectus, product disclosure statement, fundraising document, securities recommendation, invitation to invest or representation that any transaction, pilot, licence, acquisition, partnership or service will be available or suitable. Commercial arrangements arise only under a written agreement accepted by authorised parties.</w:t>
      </w:r>
    </w:p>
    <w:p>
      <w:r>
        <w:t>Prices, valuations, opportunity estimates, commercial ranges, forecasts and market statements are indicative unless a signed agreement expressly states otherwise. They may change and must be independently assessed.</w:t>
      </w:r>
    </w:p>
    <w:p>
      <w:pPr>
        <w:pStyle w:val="Heading2"/>
      </w:pPr>
      <w:r>
        <w:t>5. Intellectual property and patent status</w:t>
      </w:r>
    </w:p>
    <w:p>
      <w:r>
        <w:t>All website content, architecture, branding, documents, software, interfaces, diagrams, specifications, evidence structures, inventions, methods, workflows, data schemas and other materials may be protected by copyright, trade mark rights, patent rights or applications, designs, confidential information, trade secrets, contractual restrictions and other laws.</w:t>
      </w:r>
    </w:p>
    <w:p>
      <w:r>
        <w:t>Viewing or receiving material does not grant a licence, assignment, ownership interest, right to reverse engineer, right to train a competing model, right to create derivative commercial systems or right to practise an invention. Any permitted use is limited to the express written licence or the narrow website-use permission stated in the Terms and Conditions.</w:t>
      </w:r>
    </w:p>
    <w:p>
      <w:r>
        <w:t>A reference to an invention, patent, patent application, patent-pending technology, priority date, evidence record, trade mark or proprietary system is not a representation that a patent or registration has been granted, remains in force, is valid, is infringed, is enforceable in every jurisdiction or provides freedom to operate. Specific legal status must be verified from official records and current professional advice.</w:t>
      </w:r>
    </w:p>
    <w:p>
      <w:pPr>
        <w:pStyle w:val="Heading2"/>
      </w:pPr>
      <w:r>
        <w:t>6. AI and automated content</w:t>
      </w:r>
    </w:p>
    <w:p>
      <w:r>
        <w:t>Some content, analysis, interfaces or services may use artificial intelligence, machine learning, automated workflows, external model providers or AI-assisted drafting. AI output can be incomplete, inaccurate, outdated, inconsistent, biased, non-unique or unsuitable for a particular purpose. It must be independently reviewed by a competent human before reliance, publication, filing, production deployment, legal use, safety use or material decision-making.</w:t>
      </w:r>
    </w:p>
    <w:p>
      <w:r>
        <w:t>No AI output is represented as a final professional opinion, patentability opinion, infringement opinion, legal advice, security certification or guarantee. Human approval and applicable release controls remain required.</w:t>
      </w:r>
    </w:p>
    <w:p>
      <w:pPr>
        <w:pStyle w:val="Heading2"/>
      </w:pPr>
      <w:r>
        <w:t>7. Technical, cryptographic and security claims</w:t>
      </w:r>
    </w:p>
    <w:p>
      <w:r>
        <w:t>Technical, cybersecurity, quantum, post-quantum, cryptographic, evidentiary, forensic, tamper-evident and performance statements apply only to the specifically documented configuration, version, algorithm, environment, threat model and test conditions. Descriptive terms such as secure, sovereign, forensic, quantum-safe, post-quantum-ready, verified, resilient or enterprise-grade do not mean invulnerable, mathematically absolute, independently certified or suitable for every threat or regulated environment.</w:t>
      </w:r>
    </w:p>
    <w:p>
      <w:r>
        <w:t>Hash values, signatures, timestamps, manifests, chain-of-custody records and proof capsules may support integrity, chronology, verification and custody assessments. They do not, by themselves, prove the truth of underlying content, legal authorship, inventorship, ownership, patentability, novelty, validity, non-infringement, commercial value or admissibility.</w:t>
      </w:r>
    </w:p>
    <w:p>
      <w:r>
        <w:t>No security control eliminates all risk. Users remain responsible for their own systems, credentials, access control, backups, device security, legal compliance and independent risk assessment.</w:t>
      </w:r>
    </w:p>
    <w:p>
      <w:pPr>
        <w:pStyle w:val="Heading2"/>
      </w:pPr>
      <w:r>
        <w:t>8. Accuracy, currency and availability</w:t>
      </w:r>
    </w:p>
    <w:p>
      <w:r>
        <w:t>We take reasonable care in preparing website material but do not guarantee that it is complete, current, error-free, uninterrupted, compatible, available or fit for a particular purpose. Content may include development concepts, prototypes, demonstrations, archived material, future plans or third-party information. Features may be modified, suspended or withdrawn.</w:t>
      </w:r>
    </w:p>
    <w:p>
      <w:r>
        <w:t>Dates, legislation, standards, technical specifications, certificates, provider services and external links can change. Users must verify material that is time-sensitive or material to a decision.</w:t>
      </w:r>
    </w:p>
    <w:p>
      <w:pPr>
        <w:pStyle w:val="Heading2"/>
      </w:pPr>
      <w:r>
        <w:t>9. Third-party content and links</w:t>
      </w:r>
    </w:p>
    <w:p>
      <w:r>
        <w:t>References or links to third parties do not constitute endorsement, partnership, agency, warranty or approval. Third parties control their own sites, products, terms, privacy practices and security. Access is at the user's risk and subject to third-party terms.</w:t>
      </w:r>
    </w:p>
    <w:p>
      <w:r>
        <w:t>Trade marks and product names belonging to third parties remain the property of their owners. Their appearance is for identification, compatibility discussion, commentary or other lawful reference unless expressly stated otherwise.</w:t>
      </w:r>
    </w:p>
    <w:p>
      <w:pPr>
        <w:pStyle w:val="Heading2"/>
      </w:pPr>
      <w:r>
        <w:t>10. Limitation and mandatory rights</w:t>
      </w:r>
    </w:p>
    <w:p>
      <w:r>
        <w:t>To the maximum extent permitted by law, we exclude warranties and liability that may lawfully be excluded in relation to free public website content. We are not liable for loss caused solely by reliance on general website information without appropriate independent verification.</w:t>
      </w:r>
    </w:p>
    <w:p>
      <w:r>
        <w:t>Nothing in this notice excludes, restricts or modifies any consumer guarantee, statutory right, remedy or liability that cannot lawfully be excluded or limited, including rights under the Australian Consumer Law. Where liability may lawfully be limited, any limitation must be read reasonably and consistently with applicable law and the relevant signed service agreement.</w:t>
      </w:r>
    </w:p>
    <w:p>
      <w:pPr>
        <w:pStyle w:val="Heading2"/>
      </w:pPr>
      <w:r>
        <w:t>11. Governing law</w:t>
      </w:r>
    </w:p>
    <w:p>
      <w:r>
        <w:t>This notice is governed by the laws of New South Wales and the Commonwealth of Australia. For business users, the courts of New South Wales and competent federal courts have jurisdiction, subject to any signed agreement. Consumers retain any mandatory rights to bring proceedings in another competent forum.</w:t>
      </w:r>
    </w:p>
    <w:p>
      <w:pPr>
        <w:pStyle w:val="Heading2"/>
      </w:pPr>
      <w:r>
        <w:t>12. Contact</w:t>
      </w:r>
    </w:p>
    <w:p>
      <w:r>
        <w:t>Legal, privacy, copyright and formal notice enquiries: legal@enterprisecorporated.com.</w:t>
      </w:r>
    </w:p>
    <w:p>
      <w:r>
        <w:br w:type="page"/>
      </w:r>
    </w:p>
    <w:p>
      <w:pPr>
        <w:pStyle w:val="Heading1"/>
      </w:pPr>
      <w:r>
        <w:t>TERMS AND CONDITIONS OF USE</w:t>
      </w:r>
    </w:p>
    <w:p>
      <w:r>
        <w:t>Effective date: 29 July 2026</w:t>
      </w:r>
    </w:p>
    <w:p>
      <w:pPr>
        <w:pStyle w:val="Heading2"/>
      </w:pPr>
      <w:r>
        <w:t>1. Acceptance</w:t>
      </w:r>
    </w:p>
    <w:p>
      <w:r>
        <w:t>These Terms and Conditions of Use (Terms) form a legal agreement between you and Michael Phillip Peters ABN 26 569 038 118 trading as Enterprise Corporated. By accessing or using a site or service that links to these Terms, you agree to be bound by them. If you use a service for an organisation, you represent that you have authority to bind that organisation.</w:t>
      </w:r>
    </w:p>
    <w:p>
      <w:r>
        <w:t>If you do not agree, do not use the relevant site or service. Merely viewing a public page does not require you to surrender rights that cannot lawfully be waived.</w:t>
      </w:r>
    </w:p>
    <w:p>
      <w:pPr>
        <w:pStyle w:val="Heading2"/>
      </w:pPr>
      <w:r>
        <w:t>2. Definitions</w:t>
      </w:r>
    </w:p>
    <w:p>
      <w:r>
        <w:t>Account means a registered user account or access credential.</w:t>
      </w:r>
    </w:p>
    <w:p>
      <w:r>
        <w:t>Authorised Materials means public material expressly made available for viewing or download, excluding source code, confidential material, restricted portal content and materials subject to separate terms.</w:t>
      </w:r>
    </w:p>
    <w:p>
      <w:r>
        <w:t>Customer Material means information, files, prompts, instructions, data, inventions, evidence, documents, code or other content supplied by or for a customer.</w:t>
      </w:r>
    </w:p>
    <w:p>
      <w:r>
        <w:t>Enterprise Services means paid or controlled services, including evaluations, pilots, licensing, AI services, consulting, development, verification, evidence packaging, customer portals, APIs and support.</w:t>
      </w:r>
    </w:p>
    <w:p>
      <w:r>
        <w:t>Services means the sites, content, interfaces, tools and Enterprise Services covered by these Terms.</w:t>
      </w:r>
    </w:p>
    <w:p>
      <w:pPr>
        <w:pStyle w:val="Heading2"/>
      </w:pPr>
      <w:r>
        <w:t>3. Eligibility and authority</w:t>
      </w:r>
    </w:p>
    <w:p>
      <w:r>
        <w:t>You must be at least 18 years old to create an Account, purchase services, submit confidential business material or enter a contract. A person under 18 may only use general public content with appropriate parent or guardian supervision and must not submit personal, confidential or payment information.</w:t>
      </w:r>
    </w:p>
    <w:p>
      <w:r>
        <w:t>You must provide accurate information and keep it current. You must not impersonate another person, misstate authority, conceal your identity for unlawful purposes or create an Account using information you are not entitled to use.</w:t>
      </w:r>
    </w:p>
    <w:p>
      <w:pPr>
        <w:pStyle w:val="Heading2"/>
      </w:pPr>
      <w:r>
        <w:t>4. Permitted website use</w:t>
      </w:r>
    </w:p>
    <w:p>
      <w:r>
        <w:t>Subject to these Terms, we grant you a limited, revocable, non-exclusive, non-transferable permission to access public website content for personal information, internal business evaluation or engaging with us about a potential lawful transaction.</w:t>
      </w:r>
    </w:p>
    <w:p>
      <w:r>
        <w:t>You may print or save a reasonable number of copies for those purposes if all notices remain intact. No other licence is granted.</w:t>
      </w:r>
    </w:p>
    <w:p>
      <w:pPr>
        <w:pStyle w:val="Heading2"/>
      </w:pPr>
      <w:r>
        <w:t>5. Prohibited conduct</w:t>
      </w:r>
    </w:p>
    <w:p>
      <w:r>
        <w:t>You must not:</w:t>
      </w:r>
    </w:p>
    <w:p>
      <w:pPr>
        <w:pStyle w:val="ListBullet"/>
      </w:pPr>
      <w:r>
        <w:t>use the Services unlawfully, fraudulently, deceptively or in breach of another person's rights;</w:t>
      </w:r>
    </w:p>
    <w:p>
      <w:pPr>
        <w:pStyle w:val="ListBullet"/>
      </w:pPr>
      <w:r>
        <w:t>interfere with availability, security, integrity, authentication, rate limits, access controls or monitoring;</w:t>
      </w:r>
    </w:p>
    <w:p>
      <w:pPr>
        <w:pStyle w:val="ListBullet"/>
      </w:pPr>
      <w:r>
        <w:t>attempt unauthorised access, credential testing, exploitation, denial-of-service activity, malware delivery or destructive testing;</w:t>
      </w:r>
    </w:p>
    <w:p>
      <w:pPr>
        <w:pStyle w:val="ListBullet"/>
      </w:pPr>
      <w:r>
        <w:t>scrape, crawl, bulk-download, mirror, frame, index or systematically extract content except with written permission or through an authorised interface;</w:t>
      </w:r>
    </w:p>
    <w:p>
      <w:pPr>
        <w:pStyle w:val="ListBullet"/>
      </w:pPr>
      <w:r>
        <w:t>reverse engineer, decompile, disassemble, copy or derive source code, models, prompts, system instructions, architectures, inventions, claim structures or confidential methods except where a non-excludable law permits it;</w:t>
      </w:r>
    </w:p>
    <w:p>
      <w:pPr>
        <w:pStyle w:val="ListBullet"/>
      </w:pPr>
      <w:r>
        <w:t>use website content, Customer Material or outputs to train, fine-tune, benchmark or improve a competing model, invention system, evidence system or commercial service without written permission;</w:t>
      </w:r>
    </w:p>
    <w:p>
      <w:pPr>
        <w:pStyle w:val="ListBullet"/>
      </w:pPr>
      <w:r>
        <w:t>remove or alter copyright, trade mark, confidentiality, patent, provenance, watermark, signature, hash or rights-management notices;</w:t>
      </w:r>
    </w:p>
    <w:p>
      <w:pPr>
        <w:pStyle w:val="ListBullet"/>
      </w:pPr>
      <w:r>
        <w:t>upload private keys, passwords, access tokens, classified material, unlawfully obtained data, malware or information you are not authorised to disclose;</w:t>
      </w:r>
    </w:p>
    <w:p>
      <w:pPr>
        <w:pStyle w:val="ListBullet"/>
      </w:pPr>
      <w:r>
        <w:t>generate or distribute unlawful, abusive, exploitative, discriminatory, defamatory, deceptive or rights-infringing content;</w:t>
      </w:r>
    </w:p>
    <w:p>
      <w:pPr>
        <w:pStyle w:val="ListBullet"/>
      </w:pPr>
      <w:r>
        <w:t>use the Services for high-impact decisions, regulated advice, critical safety functions or production security controls unless expressly authorised under a suitable written agreement;</w:t>
      </w:r>
    </w:p>
    <w:p>
      <w:pPr>
        <w:pStyle w:val="ListBullet"/>
      </w:pPr>
      <w:r>
        <w:t>falsely represent that output is independently certified, legally approved, human-authored, patentable, secure, post-quantum protected or endorsed by us; or</w:t>
      </w:r>
    </w:p>
    <w:p>
      <w:pPr>
        <w:pStyle w:val="ListBullet"/>
      </w:pPr>
      <w:r>
        <w:t>assist another person to do any of these things.</w:t>
      </w:r>
    </w:p>
    <w:p>
      <w:r>
        <w:t>The Acceptable Use Policy contains additional requirements and forms part of these Terms.</w:t>
      </w:r>
    </w:p>
    <w:p>
      <w:pPr>
        <w:pStyle w:val="Heading2"/>
      </w:pPr>
      <w:r>
        <w:t>6. Accounts and credentials</w:t>
      </w:r>
    </w:p>
    <w:p>
      <w:r>
        <w:t>You are responsible for activity under your Account and for protecting passwords, passkeys, tokens, API keys, devices and recovery methods. Use strong unique credentials and multi-factor authentication where offered. Notify us promptly at legal@enterprisecorporated.com if you suspect unauthorised use.</w:t>
      </w:r>
    </w:p>
    <w:p>
      <w:r>
        <w:t>We may require identity or authority verification, particularly for enterprise, licensing, payment, confidential, high-risk or regulated transactions. You must not share an Account except where an enterprise plan expressly permits managed users.</w:t>
      </w:r>
    </w:p>
    <w:p>
      <w:pPr>
        <w:pStyle w:val="Heading2"/>
      </w:pPr>
      <w:r>
        <w:t>7. Customer Material</w:t>
      </w:r>
    </w:p>
    <w:p>
      <w:r>
        <w:t>You retain rights you lawfully hold in Customer Material. You grant us a limited licence to host, copy, process, transmit, analyse, transform and display Customer Material only as reasonably necessary to provide, secure, support and administer the requested Services, comply with law and enforce applicable agreements.</w:t>
      </w:r>
    </w:p>
    <w:p>
      <w:r>
        <w:t>You represent that you have all permissions required to provide Customer Material and direct its processing. You remain responsible for its legality, accuracy, classification, backup and suitability.</w:t>
      </w:r>
    </w:p>
    <w:p>
      <w:r>
        <w:t>Do not submit unpublished enabling patent material, privileged legal material, trade secrets, sensitive personal information, export-controlled material, private cryptographic keys or highly confidential evidence through a public form or ordinary email. Use an approved confidential channel and signed agreement.</w:t>
      </w:r>
    </w:p>
    <w:p>
      <w:pPr>
        <w:pStyle w:val="Heading2"/>
      </w:pPr>
      <w:r>
        <w:t>8. AI inputs, outputs and human review</w:t>
      </w:r>
    </w:p>
    <w:p>
      <w:r>
        <w:t>AI and automated systems may process Customer Material and generate outputs. Output may not be unique and other users may receive similar material. You must assess output for accuracy, legality, originality, bias, security, confidentiality, intellectual-property risk and fitness for purpose.</w:t>
      </w:r>
    </w:p>
    <w:p>
      <w:r>
        <w:t>Unless a signed agreement says otherwise:</w:t>
      </w:r>
    </w:p>
    <w:p>
      <w:pPr>
        <w:pStyle w:val="ListBullet"/>
      </w:pPr>
      <w:r>
        <w:t>output is a draft or candidate record, not a final professional work product;</w:t>
      </w:r>
    </w:p>
    <w:p>
      <w:pPr>
        <w:pStyle w:val="ListBullet"/>
      </w:pPr>
      <w:r>
        <w:t>human review and release approval are required;</w:t>
      </w:r>
    </w:p>
    <w:p>
      <w:pPr>
        <w:pStyle w:val="ListBullet"/>
      </w:pPr>
      <w:r>
        <w:t>we do not warrant patentability, novelty, registrability, non-infringement, legal sufficiency, evidentiary admissibility or commercial success;</w:t>
      </w:r>
    </w:p>
    <w:p>
      <w:pPr>
        <w:pStyle w:val="ListBullet"/>
      </w:pPr>
      <w:r>
        <w:t>you must not rely on output for medical, legal, financial, critical-infrastructure, public-safety or other high-impact decisions; and</w:t>
      </w:r>
    </w:p>
    <w:p>
      <w:pPr>
        <w:pStyle w:val="ListBullet"/>
      </w:pPr>
      <w:r>
        <w:t>third-party AI providers may apply their own terms and technical limitations.</w:t>
      </w:r>
    </w:p>
    <w:p>
      <w:r>
        <w:t>We will not intentionally use Customer Confidential Information to train a general-purpose model for unrelated customers unless this is expressly authorised in writing. This commitment is subject to the actual service configuration and third-party processor terms disclosed for the relevant service. The provider and training configuration must be verified before confidential deployment.</w:t>
      </w:r>
    </w:p>
    <w:p>
      <w:pPr>
        <w:pStyle w:val="Heading2"/>
      </w:pPr>
      <w:r>
        <w:t>9. Intellectual property</w:t>
      </w:r>
    </w:p>
    <w:p>
      <w:r>
        <w:t>We and our licensors retain all rights in the Services, platform, software, interfaces, documentation, templates, methods, workflows, brands, inventions, evidence structures, improvements and background intellectual property.</w:t>
      </w:r>
    </w:p>
    <w:p>
      <w:r>
        <w:t>No assignment or transfer occurs by implication, estoppel, access, demonstration, feedback or disclosure. Enterprise Services involving deliverables, inventions, co-development or licensing require a signed agreement specifying background IP, project IP, customer rights, field, territory, term, exclusivity, sublicensing, improvements and evidence custody.</w:t>
      </w:r>
    </w:p>
    <w:p>
      <w:r>
        <w:t>Feedback may be used by us without restriction only to the extent it does not include Customer Confidential Information or transfer ownership of the customer's pre-existing intellectual property. If feedback is confidential or IP-sensitive, it must be identified and governed by a written agreement.</w:t>
      </w:r>
    </w:p>
    <w:p>
      <w:pPr>
        <w:pStyle w:val="Heading2"/>
      </w:pPr>
      <w:r>
        <w:t>10. Confidentiality</w:t>
      </w:r>
    </w:p>
    <w:p>
      <w:r>
        <w:t>Public website content is not confidential. Information submitted without an applicable written confidentiality agreement may not be treated as confidential, although we will handle personal information under the Privacy Policy and take reasonable care with clearly sensitive communications.</w:t>
      </w:r>
    </w:p>
    <w:p>
      <w:r>
        <w:t>Where a signed non-disclosure agreement or service agreement applies, that agreement governs confidential information. If there is a conflict, the signed agreement prevails.</w:t>
      </w:r>
    </w:p>
    <w:p>
      <w:pPr>
        <w:pStyle w:val="Heading2"/>
      </w:pPr>
      <w:r>
        <w:t>11. Downloads, code and documentation</w:t>
      </w:r>
    </w:p>
    <w:p>
      <w:r>
        <w:t>Downloads may be subject to additional licence terms. Unless expressly stated, source code is not open source and no open-source licence is granted. Absence of a licence file does not create permission to copy, redistribute, modify or commercialise material.</w:t>
      </w:r>
    </w:p>
    <w:p>
      <w:r>
        <w:t>You are responsible for testing downloads in a safe environment, checking signatures or hashes where provided, maintaining backups and reviewing dependencies and third-party components.</w:t>
      </w:r>
    </w:p>
    <w:p>
      <w:pPr>
        <w:pStyle w:val="Heading2"/>
      </w:pPr>
      <w:r>
        <w:t>12. Purchases, subscriptions and taxes</w:t>
      </w:r>
    </w:p>
    <w:p>
      <w:r>
        <w:t>Prices, billing periods, inclusions, renewal terms and taxes will be shown at purchase or in an order form. Unless stated otherwise, Australian prices are in Australian dollars. GST treatment will be stated where applicable.</w:t>
      </w:r>
    </w:p>
    <w:p>
      <w:r>
        <w:t>You authorise the applicable payment processor to charge the selected payment method. Payment details may be handled directly by a payment provider rather than stored by us.</w:t>
      </w:r>
    </w:p>
    <w:p>
      <w:r>
        <w:t>Automatic renewal must be clearly disclosed before purchase. You may cancel in accordance with the plan terms. Cancellation normally prevents future renewal and does not retrospectively reverse services already supplied, subject to mandatory consumer rights.</w:t>
      </w:r>
    </w:p>
    <w:p>
      <w:pPr>
        <w:pStyle w:val="Heading2"/>
      </w:pPr>
      <w:r>
        <w:t>13. Consumer guarantees, refunds and service remedies</w:t>
      </w:r>
    </w:p>
    <w:p>
      <w:r>
        <w:t>Nothing in these Terms excludes, restricts or modifies consumer guarantees or remedies that cannot lawfully be excluded under the Australian Consumer Law or another applicable law.</w:t>
      </w:r>
    </w:p>
    <w:p>
      <w:r>
        <w:t>Refunds, re-performance, replacement, repair, cancellation or compensation will be provided where legally required. For change-of-mind requests or business-to-business services not covered by mandatory rights, the applicable order form or refund policy applies.</w:t>
      </w:r>
    </w:p>
    <w:p>
      <w:r>
        <w:t>Any express service warranty is additional to mandatory rights and must not be read as replacing them.</w:t>
      </w:r>
    </w:p>
    <w:p>
      <w:pPr>
        <w:pStyle w:val="Heading2"/>
      </w:pPr>
      <w:r>
        <w:t>14. Evaluation, beta and experimental services</w:t>
      </w:r>
    </w:p>
    <w:p>
      <w:r>
        <w:t>A service identified as evaluation, preview, prototype, beta, sandbox, research, demonstration, candidate, test or pre-release may be incomplete, changed without notice, unavailable, insecure for production use or subject to additional limitations. It must not be used for production reliance, critical operations or irreversible decisions unless expressly release-approved in writing.</w:t>
      </w:r>
    </w:p>
    <w:p>
      <w:r>
        <w:t>We may collect technical telemetry and feedback reasonably necessary to operate and improve evaluation services, subject to the Privacy Policy and applicable agreements.</w:t>
      </w:r>
    </w:p>
    <w:p>
      <w:pPr>
        <w:pStyle w:val="Heading2"/>
      </w:pPr>
      <w:r>
        <w:t>15. Availability, maintenance and changes</w:t>
      </w:r>
    </w:p>
    <w:p>
      <w:r>
        <w:t>We may modify, maintain, suspend or discontinue a Service for security, legal, technical, commercial or operational reasons. Where reasonably practicable and relevant to a paid service, we will give appropriate notice and apply the signed agreement.</w:t>
      </w:r>
    </w:p>
    <w:p>
      <w:r>
        <w:t>We do not guarantee uninterrupted or error-free availability. Planned service levels, support and remedies apply only where stated in a signed service-level agreement.</w:t>
      </w:r>
    </w:p>
    <w:p>
      <w:pPr>
        <w:pStyle w:val="Heading2"/>
      </w:pPr>
      <w:r>
        <w:t>16. Security</w:t>
      </w:r>
    </w:p>
    <w:p>
      <w:r>
        <w:t>We use risk-based safeguards but cannot guarantee absolute security. You must use the Services consistently with your own security obligations, approved configurations and documented threat model.</w:t>
      </w:r>
    </w:p>
    <w:p>
      <w:r>
        <w:t>Do not conduct security testing except under the Security and Responsible Disclosure Policy or written authorisation. A vulnerability report does not authorise access to other users' data, persistence, exfiltration, destructive testing or public disclosure.</w:t>
      </w:r>
    </w:p>
    <w:p>
      <w:pPr>
        <w:pStyle w:val="Heading2"/>
      </w:pPr>
      <w:r>
        <w:t>17. Third-party services</w:t>
      </w:r>
    </w:p>
    <w:p>
      <w:r>
        <w:t>The Services may depend on hosting, content-delivery, security, website-building, cloud, AI, payment, email, analytics, repository, telecommunications and other third-party services. Third-party terms and privacy notices may apply. We are not responsible for third-party acts outside our reasonable control, but this does not limit obligations that applicable law places on us.</w:t>
      </w:r>
    </w:p>
    <w:p>
      <w:pPr>
        <w:pStyle w:val="Heading2"/>
      </w:pPr>
      <w:r>
        <w:t>18. Suspension and termination</w:t>
      </w:r>
    </w:p>
    <w:p>
      <w:r>
        <w:t>We may restrict or suspend access where reasonably necessary to address suspected unlawful conduct, security threats, non-payment, material breach, rights infringement, sanctions risk, abuse, regulatory obligations or harm to users or systems.</w:t>
      </w:r>
    </w:p>
    <w:p>
      <w:r>
        <w:t>Where appropriate, we will consider the seriousness, evidence, urgency and available less restrictive measures. We may terminate access for material or repeated breach. You may stop using public Services at any time and may terminate paid Services under the applicable agreement.</w:t>
      </w:r>
    </w:p>
    <w:p>
      <w:r>
        <w:t>Provisions concerning intellectual property, confidentiality, accrued payments, liability, disputes and records survive termination where their nature requires.</w:t>
      </w:r>
    </w:p>
    <w:p>
      <w:pPr>
        <w:pStyle w:val="Heading2"/>
      </w:pPr>
      <w:r>
        <w:t>19. Disclaimers</w:t>
      </w:r>
    </w:p>
    <w:p>
      <w:r>
        <w:t>The Website Legal Notice and Disclaimer forms part of these Terms. To the maximum extent permitted by law, free public Services are provided as available and without warranties that may lawfully be excluded.</w:t>
      </w:r>
    </w:p>
    <w:p>
      <w:r>
        <w:t>No statement creates an absolute warranty of security, post-quantum protection, patent validity, evidentiary admissibility, regulatory compliance, uninterrupted service or commercial outcome.</w:t>
      </w:r>
    </w:p>
    <w:p>
      <w:pPr>
        <w:pStyle w:val="Heading2"/>
      </w:pPr>
      <w:r>
        <w:t>20. Liability</w:t>
      </w:r>
    </w:p>
    <w:p>
      <w:r>
        <w:t>Nothing excludes liability that cannot lawfully be excluded, including liability for fraud, wilful misconduct, death or personal injury caused by negligence where non-excludable, or breach of mandatory consumer rights.</w:t>
      </w:r>
    </w:p>
    <w:p>
      <w:r>
        <w:t>For Enterprise Services, liability allocation, exclusions and caps should be set out in the signed agreement according to the service risk, fees, insurance, data classification and regulatory context.</w:t>
      </w:r>
    </w:p>
    <w:p>
      <w:r>
        <w:t>For free public website use, and to the maximum extent permitted by law, we are not liable for indirect or consequential loss arising solely from reliance on general information, third-party content, voluntary downloads or unauthorised use. This clause is not intended to exclude reasonably foreseeable loss for which liability cannot lawfully be excluded.</w:t>
      </w:r>
    </w:p>
    <w:p>
      <w:pPr>
        <w:pStyle w:val="Heading2"/>
      </w:pPr>
      <w:r>
        <w:t>21. Indemnity for unlawful use</w:t>
      </w:r>
    </w:p>
    <w:p>
      <w:r>
        <w:t>To the extent permitted by law, a business user must indemnify us against third-party claims, regulatory costs and direct losses arising from that user's unlawful content, infringement of third-party rights, unauthorised security activity or material breach of these Terms. This does not apply to loss caused by our negligence, breach, unlawful conduct or failure to mitigate.</w:t>
      </w:r>
    </w:p>
    <w:p>
      <w:pPr>
        <w:pStyle w:val="Heading2"/>
      </w:pPr>
      <w:r>
        <w:t>22. Export controls, sanctions and restricted use</w:t>
      </w:r>
    </w:p>
    <w:p>
      <w:r>
        <w:t>Technology, cryptography, cybersecurity material, software and technical data may be subject to export-control, defence-trade, customs, sanctions or restricted-party laws. You must not access, export, re-export, disclose or use controlled material contrary to applicable law. We may require end-use, identity, jurisdiction and sanctions checks before providing controlled or sensitive services.</w:t>
      </w:r>
    </w:p>
    <w:p>
      <w:pPr>
        <w:pStyle w:val="Heading2"/>
      </w:pPr>
      <w:r>
        <w:t>23. Notices and communications</w:t>
      </w:r>
    </w:p>
    <w:p>
      <w:r>
        <w:t>Legal notices to us must be sent to legal@enterprisecorporated.com and clearly marked LEGAL NOTICE. A notice is not deemed accepted merely because an automated system confirms receipt. We may require identity, authority or delivery verification.</w:t>
      </w:r>
    </w:p>
    <w:p>
      <w:r>
        <w:t>Operational communications may be sent electronically. You are responsible for keeping contact details current and monitoring legitimate service messages.</w:t>
      </w:r>
    </w:p>
    <w:p>
      <w:pPr>
        <w:pStyle w:val="Heading2"/>
      </w:pPr>
      <w:r>
        <w:t>24. Governing law and disputes</w:t>
      </w:r>
    </w:p>
    <w:p>
      <w:r>
        <w:t>These Terms are governed by New South Wales law and applicable Commonwealth law.</w:t>
      </w:r>
    </w:p>
    <w:p>
      <w:r>
        <w:t>Before commencing proceedings, business users should give written notice describing the dispute and allow 20 business days for good-faith resolution, unless urgent injunctive relief, limitation periods, security, confidentiality or intellectual-property protection requires earlier action.</w:t>
      </w:r>
    </w:p>
    <w:p>
      <w:r>
        <w:t>The courts of New South Wales and competent federal courts have jurisdiction for business disputes, subject to a signed arbitration or forum clause. Consumers retain mandatory forum and procedural rights.</w:t>
      </w:r>
    </w:p>
    <w:p>
      <w:pPr>
        <w:pStyle w:val="Heading2"/>
      </w:pPr>
      <w:r>
        <w:t>25. Changes to these Terms</w:t>
      </w:r>
    </w:p>
    <w:p>
      <w:r>
        <w:t>We may update these Terms for legal, regulatory, security, technical or service changes. The current version and effective date will be published. Material adverse changes affecting an existing paid service will be handled under the signed agreement and applicable law. Continued use after the effective date constitutes acceptance only to the extent legally effective.</w:t>
      </w:r>
    </w:p>
    <w:p>
      <w:pPr>
        <w:pStyle w:val="Heading2"/>
      </w:pPr>
      <w:r>
        <w:t>26. General</w:t>
      </w:r>
    </w:p>
    <w:p>
      <w:r>
        <w:t>If a provision is invalid or unenforceable, it is read down or severed to the minimum extent necessary. Failure to enforce a provision is not a waiver. You may not assign contractual rights without consent where the assignment materially affects us; we may assign as part of a genuine business transfer subject to law and privacy obligations. These Terms do not create a partnership, employment, fiduciary or agency relationship.</w:t>
      </w:r>
    </w:p>
    <w:p>
      <w:pPr>
        <w:pStyle w:val="Heading2"/>
      </w:pPr>
      <w:r>
        <w:t>27. Contact</w:t>
      </w:r>
    </w:p>
    <w:p>
      <w:r>
        <w:t>Legal contact: legal@enterprisecorporated.com.</w:t>
      </w:r>
    </w:p>
    <w:p>
      <w:r>
        <w:br w:type="page"/>
      </w:r>
    </w:p>
    <w:p>
      <w:pPr>
        <w:pStyle w:val="Heading1"/>
      </w:pPr>
      <w:r>
        <w:t>PRIVACY POLICY</w:t>
      </w:r>
    </w:p>
    <w:p>
      <w:r>
        <w:t>Effective date: 29 July 2026</w:t>
      </w:r>
    </w:p>
    <w:p>
      <w:pPr>
        <w:pStyle w:val="Heading2"/>
      </w:pPr>
      <w:r>
        <w:t>1. Purpose and operator</w:t>
      </w:r>
    </w:p>
    <w:p>
      <w:r>
        <w:t>This Privacy Policy explains how Michael Phillip Peters ABN 26 569 038 118 trading as Enterprise Corporated handles personal information in connection with the authorised websites, portals, applications, AI interfaces, enterprise services, communications and business activities that link to this policy.</w:t>
      </w:r>
    </w:p>
    <w:p>
      <w:r>
        <w:t>We use Enterprise Corporated, we, us and our to refer to the legal operator. Privacy enquiries and requests may be sent to legal@enterprisecorporated.com.</w:t>
      </w:r>
    </w:p>
    <w:p>
      <w:pPr>
        <w:pStyle w:val="Heading2"/>
      </w:pPr>
      <w:r>
        <w:t>2. Australian privacy position</w:t>
      </w:r>
    </w:p>
    <w:p>
      <w:r>
        <w:t>The Privacy Act 1988 (Cth) and Australian Privacy Principles apply to organisations that fall within the Act, including organisations above the statutory turnover threshold and certain small businesses covered because of their activities. Whether a specific small business is legally bound can depend on its conduct and exemptions.</w:t>
      </w:r>
    </w:p>
    <w:p>
      <w:r>
        <w:t>Where the Privacy Act applies, we will comply with it. Whether or not every activity is legally required to comply, our policy is to handle personal information consistently with the core Australian Privacy Principles, including transparency, data minimisation, purpose limitation, security, access and correction.</w:t>
      </w:r>
    </w:p>
    <w:p>
      <w:r>
        <w:t>This policy does not create a waiver of a lawful exemption or an admission about regulatory status. It records the standards we intend to apply.</w:t>
      </w:r>
    </w:p>
    <w:p>
      <w:pPr>
        <w:pStyle w:val="Heading2"/>
      </w:pPr>
      <w:r>
        <w:t>3. Meaning of personal information</w:t>
      </w:r>
    </w:p>
    <w:p>
      <w:r>
        <w:t>Personal information is information or an opinion about an identified individual or an individual who is reasonably identifiable, whether true or not and whether recorded in material form or not.</w:t>
      </w:r>
    </w:p>
    <w:p>
      <w:r>
        <w:t>Sensitive information may include health information, biometric information used for identification, racial or ethnic origin, political opinions, religious or philosophical beliefs, sexual orientation, criminal record, professional or trade association membership and other categories defined by law. We only seek sensitive information where reasonably necessary, authorised and accompanied by any required consent or legal basis.</w:t>
      </w:r>
    </w:p>
    <w:p>
      <w:pPr>
        <w:pStyle w:val="Heading2"/>
      </w:pPr>
      <w:r>
        <w:t>4. Information we may collect</w:t>
      </w:r>
    </w:p>
    <w:p>
      <w:r>
        <w:t>Depending on how you interact with us, we may collect:</w:t>
      </w:r>
    </w:p>
    <w:p>
      <w:pPr>
        <w:pStyle w:val="ListBullet"/>
      </w:pPr>
      <w:r>
        <w:t>identity details, including name, title, organisation, role and authority;</w:t>
      </w:r>
    </w:p>
    <w:p>
      <w:pPr>
        <w:pStyle w:val="ListBullet"/>
      </w:pPr>
      <w:r>
        <w:t>contact details, including email address, telephone number, business address and communication preferences;</w:t>
      </w:r>
    </w:p>
    <w:p>
      <w:pPr>
        <w:pStyle w:val="ListBullet"/>
      </w:pPr>
      <w:r>
        <w:t>account and authentication information, including username, access logs, multi-factor status, device identifiers and recovery information;</w:t>
      </w:r>
    </w:p>
    <w:p>
      <w:pPr>
        <w:pStyle w:val="ListBullet"/>
      </w:pPr>
      <w:r>
        <w:t>transaction and commercial information, including enquiries, proposals, orders, invoices, payment status, licence scope, support records and contract history;</w:t>
      </w:r>
    </w:p>
    <w:p>
      <w:pPr>
        <w:pStyle w:val="ListBullet"/>
      </w:pPr>
      <w:r>
        <w:t>customer and project material, including prompts, instructions, files, documents, source code, invention material, patent material, evidence records, diagrams, specifications, verification data and deliverables;</w:t>
      </w:r>
    </w:p>
    <w:p>
      <w:pPr>
        <w:pStyle w:val="ListBullet"/>
      </w:pPr>
      <w:r>
        <w:t>communications, including email, contact-form messages, meeting notes, support interactions, complaint records and lawful call or session records where notice and consent requirements are met;</w:t>
      </w:r>
    </w:p>
    <w:p>
      <w:pPr>
        <w:pStyle w:val="ListBullet"/>
      </w:pPr>
      <w:r>
        <w:t>technical and usage information, including IP address, browser, operating system, device type, language, time zone, referral source, pages viewed, actions, timestamps, error logs, security events and approximate location inferred from IP address;</w:t>
      </w:r>
    </w:p>
    <w:p>
      <w:pPr>
        <w:pStyle w:val="ListBullet"/>
      </w:pPr>
      <w:r>
        <w:t>cookie, local-storage, pixel and similar technology information described in the Cookie Statement;</w:t>
      </w:r>
    </w:p>
    <w:p>
      <w:pPr>
        <w:pStyle w:val="ListBullet"/>
      </w:pPr>
      <w:r>
        <w:t>AI interaction information, including prompts, outputs, safety classifications, model routing, feedback and human approval records;</w:t>
      </w:r>
    </w:p>
    <w:p>
      <w:pPr>
        <w:pStyle w:val="ListBullet"/>
      </w:pPr>
      <w:r>
        <w:t>recruitment, supplier, contractor and professional contact information;</w:t>
      </w:r>
    </w:p>
    <w:p>
      <w:pPr>
        <w:pStyle w:val="ListBullet"/>
      </w:pPr>
      <w:r>
        <w:t>public-source and third-party business information reasonably necessary for due diligence, identity verification, sanctions screening, fraud prevention, intellectual-property research or business development; and</w:t>
      </w:r>
    </w:p>
    <w:p>
      <w:pPr>
        <w:pStyle w:val="ListBullet"/>
      </w:pPr>
      <w:r>
        <w:t>other information you choose to provide or that is required by law.</w:t>
      </w:r>
    </w:p>
    <w:p>
      <w:pPr>
        <w:pStyle w:val="Heading2"/>
      </w:pPr>
      <w:r>
        <w:t>5. Information we do not request through public channels</w:t>
      </w:r>
    </w:p>
    <w:p>
      <w:r>
        <w:t>Do not send private cryptographic keys, passwords, seed phrases, access tokens, classified information, unlawfully obtained data, privileged legal files, full identity documents, unpublished enabling patent disclosure, sensitive health information or highly confidential trade secrets through a public form or ordinary email unless we have confirmed a secure authorised process.</w:t>
      </w:r>
    </w:p>
    <w:p>
      <w:r>
        <w:t>If unsolicited information is received, we will assess whether it could lawfully have been collected. Where appropriate and lawful, we may securely delete, de-identify, quarantine or return it.</w:t>
      </w:r>
    </w:p>
    <w:p>
      <w:pPr>
        <w:pStyle w:val="Heading2"/>
      </w:pPr>
      <w:r>
        <w:t>6. How we collect information</w:t>
      </w:r>
    </w:p>
    <w:p>
      <w:r>
        <w:t>We may collect information:</w:t>
      </w:r>
    </w:p>
    <w:p>
      <w:pPr>
        <w:pStyle w:val="ListBullet"/>
      </w:pPr>
      <w:r>
        <w:t>directly from you through forms, email, account registration, contracts, uploads, support, surveys, meetings, transactions and service use;</w:t>
      </w:r>
    </w:p>
    <w:p>
      <w:pPr>
        <w:pStyle w:val="ListBullet"/>
      </w:pPr>
      <w:r>
        <w:t>automatically through servers, security systems, cookies, telemetry, APIs and analytics;</w:t>
      </w:r>
    </w:p>
    <w:p>
      <w:pPr>
        <w:pStyle w:val="ListBullet"/>
      </w:pPr>
      <w:r>
        <w:t>from an organisation that authorises you or engages us;</w:t>
      </w:r>
    </w:p>
    <w:p>
      <w:pPr>
        <w:pStyle w:val="ListBullet"/>
      </w:pPr>
      <w:r>
        <w:t>from service providers, payment processors, referral partners and professional advisers;</w:t>
      </w:r>
    </w:p>
    <w:p>
      <w:pPr>
        <w:pStyle w:val="ListBullet"/>
      </w:pPr>
      <w:r>
        <w:t>from public registers, official records, websites, repositories, publications, conferences and lawful commercial sources; and</w:t>
      </w:r>
    </w:p>
    <w:p>
      <w:pPr>
        <w:pStyle w:val="ListBullet"/>
      </w:pPr>
      <w:r>
        <w:t>from another person where authorised, reasonably expected or permitted by law.</w:t>
      </w:r>
    </w:p>
    <w:p>
      <w:r>
        <w:t>At or before collection, or as soon as practicable, we will provide an appropriate collection notice where required.</w:t>
      </w:r>
    </w:p>
    <w:p>
      <w:pPr>
        <w:pStyle w:val="Heading2"/>
      </w:pPr>
      <w:r>
        <w:t>7. Purposes of collection, use and disclosure</w:t>
      </w:r>
    </w:p>
    <w:p>
      <w:r>
        <w:t>We may handle personal information to:</w:t>
      </w:r>
    </w:p>
    <w:p>
      <w:pPr>
        <w:pStyle w:val="ListBullet"/>
      </w:pPr>
      <w:r>
        <w:t>operate, secure and improve the websites and Services;</w:t>
      </w:r>
    </w:p>
    <w:p>
      <w:pPr>
        <w:pStyle w:val="ListBullet"/>
      </w:pPr>
      <w:r>
        <w:t>establish identity, authority, Accounts and access permissions;</w:t>
      </w:r>
    </w:p>
    <w:p>
      <w:pPr>
        <w:pStyle w:val="ListBullet"/>
      </w:pPr>
      <w:r>
        <w:t>respond to enquiries and provide requested information;</w:t>
      </w:r>
    </w:p>
    <w:p>
      <w:pPr>
        <w:pStyle w:val="ListBullet"/>
      </w:pPr>
      <w:r>
        <w:t>assess, negotiate, enter and administer contracts, licences, evaluations, pilots and services;</w:t>
      </w:r>
    </w:p>
    <w:p>
      <w:pPr>
        <w:pStyle w:val="ListBullet"/>
      </w:pPr>
      <w:r>
        <w:t>process transactions, invoices, subscriptions, refunds and accounting records;</w:t>
      </w:r>
    </w:p>
    <w:p>
      <w:pPr>
        <w:pStyle w:val="ListBullet"/>
      </w:pPr>
      <w:r>
        <w:t>provide AI, software, evidence, verification, invention, patent-support, licensing, technical and customer-support functions;</w:t>
      </w:r>
    </w:p>
    <w:p>
      <w:pPr>
        <w:pStyle w:val="ListBullet"/>
      </w:pPr>
      <w:r>
        <w:t>generate, preserve and verify authorised logs, hashes, signatures, timestamps, manifests and chain-of-custody records;</w:t>
      </w:r>
    </w:p>
    <w:p>
      <w:pPr>
        <w:pStyle w:val="ListBullet"/>
      </w:pPr>
      <w:r>
        <w:t>maintain quality, safety, testing, auditability, human review and release governance;</w:t>
      </w:r>
    </w:p>
    <w:p>
      <w:pPr>
        <w:pStyle w:val="ListBullet"/>
      </w:pPr>
      <w:r>
        <w:t>prevent fraud, misuse, security incidents, rights infringement and prohibited activity;</w:t>
      </w:r>
    </w:p>
    <w:p>
      <w:pPr>
        <w:pStyle w:val="ListBullet"/>
      </w:pPr>
      <w:r>
        <w:t>investigate complaints, disputes, suspected breaches and legal claims;</w:t>
      </w:r>
    </w:p>
    <w:p>
      <w:pPr>
        <w:pStyle w:val="ListBullet"/>
      </w:pPr>
      <w:r>
        <w:t>comply with legal, regulatory, court, taxation, law-enforcement, sanctions and professional obligations;</w:t>
      </w:r>
    </w:p>
    <w:p>
      <w:pPr>
        <w:pStyle w:val="ListBullet"/>
      </w:pPr>
      <w:r>
        <w:t>protect people, rights, systems, confidential information and intellectual property;</w:t>
      </w:r>
    </w:p>
    <w:p>
      <w:pPr>
        <w:pStyle w:val="ListBullet"/>
      </w:pPr>
      <w:r>
        <w:t>perform research, analytics and service improvement using aggregated or de-identified information where reasonably practicable;</w:t>
      </w:r>
    </w:p>
    <w:p>
      <w:pPr>
        <w:pStyle w:val="ListBullet"/>
      </w:pPr>
      <w:r>
        <w:t>send service communications and, with an appropriate basis, marketing communications;</w:t>
      </w:r>
    </w:p>
    <w:p>
      <w:pPr>
        <w:pStyle w:val="ListBullet"/>
      </w:pPr>
      <w:r>
        <w:t>conduct recruitment, supplier management and corporate administration; and</w:t>
      </w:r>
    </w:p>
    <w:p>
      <w:pPr>
        <w:pStyle w:val="ListBullet"/>
      </w:pPr>
      <w:r>
        <w:t>support a genuine business restructure, financing, acquisition or transfer subject to confidentiality and law.</w:t>
      </w:r>
    </w:p>
    <w:p>
      <w:r>
        <w:t>We will not use personal information for a materially incompatible purpose without an appropriate legal basis, notice or consent.</w:t>
      </w:r>
    </w:p>
    <w:p>
      <w:pPr>
        <w:pStyle w:val="Heading2"/>
      </w:pPr>
      <w:r>
        <w:t>8. AI processing and automated decisions</w:t>
      </w:r>
    </w:p>
    <w:p>
      <w:r>
        <w:t>Personal information and Customer Material may be processed by AI or automated systems where necessary for the requested service, security, classification, routing, quality control or support.</w:t>
      </w:r>
    </w:p>
    <w:p>
      <w:r>
        <w:t>We apply or seek to apply human oversight proportionate to risk. We do not intend to make a solely automated decision that has a legal or similarly significant effect on an individual without appropriate notice, safeguards and a lawful basis. Where applicable, individuals may request human review, provide relevant information and contest a decision.</w:t>
      </w:r>
    </w:p>
    <w:p>
      <w:r>
        <w:t>Australian privacy-policy obligations concerning certain substantially automated decisions commence on 10 December 2026. This policy is drafted to accommodate those requirements, but the actual systems and decision classes must be documented before that date.</w:t>
      </w:r>
    </w:p>
    <w:p>
      <w:r>
        <w:t>AI prompts and outputs may be retained for the period required to provide, secure and audit the service. Confidential-service configurations, external model routing and any model-training use must be identified in the service-specific notice or agreement.</w:t>
      </w:r>
    </w:p>
    <w:p>
      <w:pPr>
        <w:pStyle w:val="Heading2"/>
      </w:pPr>
      <w:r>
        <w:t>9. Marketing</w:t>
      </w:r>
    </w:p>
    <w:p>
      <w:r>
        <w:t>We may send marketing only where permitted by law and our records support consent or another lawful basis. Commercial electronic messages will identify the sender and include a functional unsubscribe mechanism. Unsubscribe requests will be honoured within the legally required period and suppression records may be retained to prevent further marketing.</w:t>
      </w:r>
    </w:p>
    <w:p>
      <w:r>
        <w:t>We do not infer consent merely because an email address is publicly available, an enquiry was submitted or a person purchased an unrelated service. Service and security messages are not marketing unless they include promotional content that makes them commercial messages.</w:t>
      </w:r>
    </w:p>
    <w:p>
      <w:r>
        <w:t>You can opt out by using the unsubscribe facility or contacting legal@enterprisecorporated.com. Opting out of marketing does not stop necessary service, legal, security or transaction communications.</w:t>
      </w:r>
    </w:p>
    <w:p>
      <w:pPr>
        <w:pStyle w:val="Heading2"/>
      </w:pPr>
      <w:r>
        <w:t>10. Cookies and similar technologies</w:t>
      </w:r>
    </w:p>
    <w:p>
      <w:r>
        <w:t>We use cookies, local storage, pixels, scripts and similar technologies as described in the Cookie Statement. Strictly necessary technologies may operate without consent where lawful. Non-essential analytics, personalisation and advertising technologies will be activated only in accordance with applicable consent requirements and the choices made through the consent tool.</w:t>
      </w:r>
    </w:p>
    <w:p>
      <w:r>
        <w:t>A complete live cookie inventory, provider, purpose, duration and transfer location must be maintained and linked from the Cookie Statement.</w:t>
      </w:r>
    </w:p>
    <w:p>
      <w:pPr>
        <w:pStyle w:val="Heading2"/>
      </w:pPr>
      <w:r>
        <w:t>11. Disclosure recipients</w:t>
      </w:r>
    </w:p>
    <w:p>
      <w:r>
        <w:t>We may disclose personal information to:</w:t>
      </w:r>
    </w:p>
    <w:p>
      <w:pPr>
        <w:pStyle w:val="ListBullet"/>
      </w:pPr>
      <w:r>
        <w:t>personnel, contractors and authorised representatives who need it for their functions;</w:t>
      </w:r>
    </w:p>
    <w:p>
      <w:pPr>
        <w:pStyle w:val="ListBullet"/>
      </w:pPr>
      <w:r>
        <w:t>hosting, cloud, content-delivery, security, domain, website-building, repository, telecommunications and infrastructure providers;</w:t>
      </w:r>
    </w:p>
    <w:p>
      <w:pPr>
        <w:pStyle w:val="ListBullet"/>
      </w:pPr>
      <w:r>
        <w:t>AI, machine-learning, transcription, search and automation providers authorised for the service;</w:t>
      </w:r>
    </w:p>
    <w:p>
      <w:pPr>
        <w:pStyle w:val="ListBullet"/>
      </w:pPr>
      <w:r>
        <w:t>payment, accounting, banking, fraud-prevention and transaction providers;</w:t>
      </w:r>
    </w:p>
    <w:p>
      <w:pPr>
        <w:pStyle w:val="ListBullet"/>
      </w:pPr>
      <w:r>
        <w:t>email, customer-relationship, support, analytics, consent-management and communication providers;</w:t>
      </w:r>
    </w:p>
    <w:p>
      <w:pPr>
        <w:pStyle w:val="ListBullet"/>
      </w:pPr>
      <w:r>
        <w:t>professional advisers, insurers, auditors, experts, patent attorneys, lawyers and consultants;</w:t>
      </w:r>
    </w:p>
    <w:p>
      <w:pPr>
        <w:pStyle w:val="ListBullet"/>
      </w:pPr>
      <w:r>
        <w:t>counterparties and due-diligence participants in an actual or proposed transaction under appropriate confidentiality controls;</w:t>
      </w:r>
    </w:p>
    <w:p>
      <w:pPr>
        <w:pStyle w:val="ListBullet"/>
      </w:pPr>
      <w:r>
        <w:t>regulators, courts, tribunals, law enforcement and government bodies where required or authorised by law; and</w:t>
      </w:r>
    </w:p>
    <w:p>
      <w:pPr>
        <w:pStyle w:val="ListBullet"/>
      </w:pPr>
      <w:r>
        <w:t>other recipients you authorise or that are identified in a collection notice or agreement.</w:t>
      </w:r>
    </w:p>
    <w:p>
      <w:r>
        <w:t>We do not sell personal information for money. We do not disclose personal information for unrelated cross-context behavioural advertising unless expressly disclosed and supported by any consent or opt-out required by law.</w:t>
      </w:r>
    </w:p>
    <w:p>
      <w:pPr>
        <w:pStyle w:val="Heading2"/>
      </w:pPr>
      <w:r>
        <w:t>12. Overseas processing and disclosures</w:t>
      </w:r>
    </w:p>
    <w:p>
      <w:r>
        <w:t>Technology providers may process or store information outside Australia. Before publication, the actual Service Provider and Overseas Processing Schedule must identify the provider, function, data category, legal role, countries or regions, safeguards and retention.</w:t>
      </w:r>
    </w:p>
    <w:p>
      <w:r>
        <w:t>Potential locations must not be guessed. The live policy should list countries where practicable based on actual provider contracts and configurations.</w:t>
      </w:r>
    </w:p>
    <w:p>
      <w:r>
        <w:t>Where Australian Privacy Principle 8 applies, we will take reasonable steps before disclosing personal information to an overseas recipient to ensure appropriate handling, subject to statutory exceptions. Depending on the jurisdiction and service, safeguards may include contractual obligations, security review, access controls, encryption, data minimisation, transfer mechanisms and vendor assessment.</w:t>
      </w:r>
    </w:p>
    <w:p>
      <w:r>
        <w:t>Foreign laws may require an overseas provider to disclose information. We will consider this risk in provider selection, contracting and notices.</w:t>
      </w:r>
    </w:p>
    <w:p>
      <w:pPr>
        <w:pStyle w:val="Heading2"/>
      </w:pPr>
      <w:r>
        <w:t>13. Security</w:t>
      </w:r>
    </w:p>
    <w:p>
      <w:r>
        <w:t>We use safeguards proportionate to the information, service and risk. Depending on the system, measures may include:</w:t>
      </w:r>
    </w:p>
    <w:p>
      <w:pPr>
        <w:pStyle w:val="ListBullet"/>
      </w:pPr>
      <w:r>
        <w:t>encryption in transit and, where appropriate, at rest;</w:t>
      </w:r>
    </w:p>
    <w:p>
      <w:pPr>
        <w:pStyle w:val="ListBullet"/>
      </w:pPr>
      <w:r>
        <w:t>access control, least privilege, multi-factor authentication and credential management;</w:t>
      </w:r>
    </w:p>
    <w:p>
      <w:pPr>
        <w:pStyle w:val="ListBullet"/>
      </w:pPr>
      <w:r>
        <w:t>network, application, endpoint and infrastructure security controls;</w:t>
      </w:r>
    </w:p>
    <w:p>
      <w:pPr>
        <w:pStyle w:val="ListBullet"/>
      </w:pPr>
      <w:r>
        <w:t>logging, anomaly detection, rate limits and incident monitoring;</w:t>
      </w:r>
    </w:p>
    <w:p>
      <w:pPr>
        <w:pStyle w:val="ListBullet"/>
      </w:pPr>
      <w:r>
        <w:t>secure development, dependency review, change control and vulnerability management;</w:t>
      </w:r>
    </w:p>
    <w:p>
      <w:pPr>
        <w:pStyle w:val="ListBullet"/>
      </w:pPr>
      <w:r>
        <w:t>backups, recovery procedures, retention controls and secure deletion;</w:t>
      </w:r>
    </w:p>
    <w:p>
      <w:pPr>
        <w:pStyle w:val="ListBullet"/>
      </w:pPr>
      <w:r>
        <w:t>supplier due diligence and contractual controls;</w:t>
      </w:r>
    </w:p>
    <w:p>
      <w:pPr>
        <w:pStyle w:val="ListBullet"/>
      </w:pPr>
      <w:r>
        <w:t>confidentiality obligations, training and role-based access;</w:t>
      </w:r>
    </w:p>
    <w:p>
      <w:pPr>
        <w:pStyle w:val="ListBullet"/>
      </w:pPr>
      <w:r>
        <w:t>data classification and separation of public, customer, confidential and restricted environments;</w:t>
      </w:r>
    </w:p>
    <w:p>
      <w:pPr>
        <w:pStyle w:val="ListBullet"/>
      </w:pPr>
      <w:r>
        <w:t>cryptographic integrity records, signatures, hashes or timestamps where appropriate; and</w:t>
      </w:r>
    </w:p>
    <w:p>
      <w:pPr>
        <w:pStyle w:val="ListBullet"/>
      </w:pPr>
      <w:r>
        <w:t>incident response and notification procedures.</w:t>
      </w:r>
    </w:p>
    <w:p>
      <w:r>
        <w:t>These measures reduce risk but no system is completely secure. Security statements apply only to implemented and verified controls. Private keys should remain in user-controlled environments unless a specific managed-key service is contractually approved.</w:t>
      </w:r>
    </w:p>
    <w:p>
      <w:pPr>
        <w:pStyle w:val="Heading2"/>
      </w:pPr>
      <w:r>
        <w:t>14. Data breaches</w:t>
      </w:r>
    </w:p>
    <w:p>
      <w:r>
        <w:t>We maintain an incident-response process. Where the Notifiable Data Breaches scheme applies and we have reasonable grounds to believe an eligible data breach has occurred, we will assess, contain and remediate the incident and notify affected individuals and the Office of the Australian Information Commissioner as required.</w:t>
      </w:r>
    </w:p>
    <w:p>
      <w:r>
        <w:t>We may also notify individuals, customers, regulators or contractual partners in other circumstances where required or reasonably appropriate.</w:t>
      </w:r>
    </w:p>
    <w:p>
      <w:pPr>
        <w:pStyle w:val="Heading2"/>
      </w:pPr>
      <w:r>
        <w:t>15. Retention and deletion</w:t>
      </w:r>
    </w:p>
    <w:p>
      <w:r>
        <w:t>We retain personal information only for as long as reasonably necessary for the disclosed purposes, contractual obligations, security, evidence integrity, dispute management and legal requirements. Legal holds and evidence-preservation duties may extend retention.</w:t>
      </w:r>
    </w:p>
    <w:p>
      <w:r>
        <w:t>The following are default planning periods and must be confirmed against actual systems and professional advice:</w:t>
      </w:r>
    </w:p>
    <w:p>
      <w:pPr>
        <w:pStyle w:val="ListBullet"/>
      </w:pPr>
      <w:r>
        <w:t>general enquiries: up to 24 months after closure;</w:t>
      </w:r>
    </w:p>
    <w:p>
      <w:pPr>
        <w:pStyle w:val="ListBullet"/>
      </w:pPr>
      <w:r>
        <w:t>marketing records: until opt-out or inactivity, with a minimal suppression record retained as necessary;</w:t>
      </w:r>
    </w:p>
    <w:p>
      <w:pPr>
        <w:pStyle w:val="ListBullet"/>
      </w:pPr>
      <w:r>
        <w:t>customer contracts, licences, invoices and material correspondence: generally 7 years after the relationship ends, or longer if a dispute, IP right or law requires;</w:t>
      </w:r>
    </w:p>
    <w:p>
      <w:pPr>
        <w:pStyle w:val="ListBullet"/>
      </w:pPr>
      <w:r>
        <w:t>tax and accounting records: the applicable statutory period, commonly at least 5 years in Australia;</w:t>
      </w:r>
    </w:p>
    <w:p>
      <w:pPr>
        <w:pStyle w:val="ListBullet"/>
      </w:pPr>
      <w:r>
        <w:t>unsuccessful recruitment applications: generally 12 months unless consent or law supports longer retention;</w:t>
      </w:r>
    </w:p>
    <w:p>
      <w:pPr>
        <w:pStyle w:val="ListBullet"/>
      </w:pPr>
      <w:r>
        <w:t>security and access logs: usually 3 to 24 months according to risk, with relevant incident records retained longer;</w:t>
      </w:r>
    </w:p>
    <w:p>
      <w:pPr>
        <w:pStyle w:val="ListBullet"/>
      </w:pPr>
      <w:r>
        <w:t>customer project material: the contract period plus the agreed return, export or deletion window;</w:t>
      </w:r>
    </w:p>
    <w:p>
      <w:pPr>
        <w:pStyle w:val="ListBullet"/>
      </w:pPr>
      <w:r>
        <w:t>evidence and provenance records: according to the customer's instructions, contract, legal hold, patent strategy and custody requirements; and</w:t>
      </w:r>
    </w:p>
    <w:p>
      <w:pPr>
        <w:pStyle w:val="ListBullet"/>
      </w:pPr>
      <w:r>
        <w:t>cookie data: the period shown in the live cookie inventory.</w:t>
      </w:r>
    </w:p>
    <w:p>
      <w:r>
        <w:t>Deletion may involve secure erasure, cryptographic deletion, de-identification or removal from active systems. Backup copies may persist until normal rotation, subject to access restrictions.</w:t>
      </w:r>
    </w:p>
    <w:p>
      <w:pPr>
        <w:pStyle w:val="Heading2"/>
      </w:pPr>
      <w:r>
        <w:t>16. Access, correction and privacy requests</w:t>
      </w:r>
    </w:p>
    <w:p>
      <w:r>
        <w:t>You may request access to personal information we hold about you and ask us to correct inaccurate, out-of-date, incomplete, irrelevant or misleading information. Depending on applicable law, you may also have rights to deletion, restriction, portability, objection, withdrawal of consent or human review.</w:t>
      </w:r>
    </w:p>
    <w:p>
      <w:r>
        <w:t>Send requests to legal@enterprisecorporated.com with enough information to identify the relevant records. We may verify identity and authority before acting. We will respond within a reasonable period, ordinarily within 30 calendar days where practicable, or within another period required by law.</w:t>
      </w:r>
    </w:p>
    <w:p>
      <w:r>
        <w:t>Access may be refused or limited where law permits, including where disclosure would unreasonably affect another person's privacy, reveal privileged or confidential information, prejudice security, or be unlawful. We will provide reasons where required.</w:t>
      </w:r>
    </w:p>
    <w:p>
      <w:pPr>
        <w:pStyle w:val="Heading2"/>
      </w:pPr>
      <w:r>
        <w:t>17. Anonymity and pseudonyms</w:t>
      </w:r>
    </w:p>
    <w:p>
      <w:r>
        <w:t>Where lawful and practicable, you may interact anonymously or using a pseudonym for general enquiries. Identity may be required for contracts, payments, licensing, access control, rights requests, security, regulated transactions or where law requires.</w:t>
      </w:r>
    </w:p>
    <w:p>
      <w:pPr>
        <w:pStyle w:val="Heading2"/>
      </w:pPr>
      <w:r>
        <w:t>18. Children</w:t>
      </w:r>
    </w:p>
    <w:p>
      <w:r>
        <w:t>The Services are not directed to children under 16 and Accounts and commercial services are for persons aged 18 or older. We do not knowingly seek children's personal information through commercial or confidential services. If a parent or guardian believes a child has provided information without appropriate authority, contact legal@enterprisecorporated.com.</w:t>
      </w:r>
    </w:p>
    <w:p>
      <w:r>
        <w:t>Services likely to be accessed by children must undergo a separate child-safety and privacy assessment before launch, including applicable age, design and Online Safety requirements.</w:t>
      </w:r>
    </w:p>
    <w:p>
      <w:pPr>
        <w:pStyle w:val="Heading2"/>
      </w:pPr>
      <w:r>
        <w:t>19. Third-party sites</w:t>
      </w:r>
    </w:p>
    <w:p>
      <w:r>
        <w:t>Third-party links, embeds, plugins and services have their own privacy practices. Review their notices before providing information. Where we embed a third-party service, the Cookie Statement or collection notice should identify it and applicable choices.</w:t>
      </w:r>
    </w:p>
    <w:p>
      <w:pPr>
        <w:pStyle w:val="Heading2"/>
      </w:pPr>
      <w:r>
        <w:t>20. Complaints</w:t>
      </w:r>
    </w:p>
    <w:p>
      <w:r>
        <w:t>Send a privacy complaint to legal@enterprisecorporated.com with relevant details. We will acknowledge it, investigate fairly and seek to respond within 30 calendar days where practicable. Complex matters may require additional time, in which case we will provide an update.</w:t>
      </w:r>
    </w:p>
    <w:p>
      <w:r>
        <w:t>If you are not satisfied and the Privacy Act applies, you may contact the Office of the Australian Information Commissioner. Other regulators or dispute bodies may be available depending on the issue and jurisdiction.</w:t>
      </w:r>
    </w:p>
    <w:p>
      <w:pPr>
        <w:pStyle w:val="Heading2"/>
      </w:pPr>
      <w:r>
        <w:t>21. International rights</w:t>
      </w:r>
    </w:p>
    <w:p>
      <w:r>
        <w:t>The Global Privacy Addendum applies only where the relevant foreign law applies to our activities. It does not represent that every foreign privacy law applies merely because the website can be viewed from that jurisdiction.</w:t>
      </w:r>
    </w:p>
    <w:p>
      <w:pPr>
        <w:pStyle w:val="Heading2"/>
      </w:pPr>
      <w:r>
        <w:t>22. Changes</w:t>
      </w:r>
    </w:p>
    <w:p>
      <w:r>
        <w:t>We may update this policy to reflect legal, operational, provider or service changes. The current version and effective date will be published. Material changes will receive additional notice where required.</w:t>
      </w:r>
    </w:p>
    <w:p>
      <w:pPr>
        <w:pStyle w:val="Heading2"/>
      </w:pPr>
      <w:r>
        <w:t>23. Contact</w:t>
      </w:r>
    </w:p>
    <w:p>
      <w:r>
        <w:t>Privacy contact: legal@enterprisecorporated.com</w:t>
      </w:r>
    </w:p>
    <w:p>
      <w:r>
        <w:t>Operator: Michael Phillip Peters ABN 26 569 038 118 trading as Enterprise Corporated</w:t>
      </w:r>
    </w:p>
    <w:p>
      <w:r>
        <w:t>Location: New South Wales, Australia</w:t>
      </w:r>
    </w:p>
    <w:p>
      <w:r>
        <w:t>Postal address: [REQUIRED BEFORE PUBLICATION - INSERT SERVICEABLE BUSINESS OR POSTAL ADDRESS]</w:t>
      </w:r>
    </w:p>
    <w:p>
      <w:r>
        <w:br w:type="page"/>
      </w:r>
    </w:p>
    <w:p>
      <w:pPr>
        <w:pStyle w:val="Heading1"/>
      </w:pPr>
      <w:r>
        <w:t>COOKIE AND SIMILAR TECHNOLOGIES STATEMENT</w:t>
      </w:r>
    </w:p>
    <w:p>
      <w:r>
        <w:t>Effective date: 29 July 2026</w:t>
      </w:r>
    </w:p>
    <w:p>
      <w:pPr>
        <w:pStyle w:val="Heading2"/>
      </w:pPr>
      <w:r>
        <w:t>1. Scope</w:t>
      </w:r>
    </w:p>
    <w:p>
      <w:r>
        <w:t>This statement explains how Michael Phillip Peters ABN 26 569 038 118 trading as Enterprise Corporated uses cookies, local storage, software development kits, pixels, tags, scripts, device storage, identifiers and similar technologies on the authorised websites and services.</w:t>
      </w:r>
    </w:p>
    <w:p>
      <w:r>
        <w:t>It should be read with the Privacy Policy and Terms and Conditions.</w:t>
      </w:r>
    </w:p>
    <w:p>
      <w:pPr>
        <w:pStyle w:val="Heading2"/>
      </w:pPr>
      <w:r>
        <w:t>2. What these technologies do</w:t>
      </w:r>
    </w:p>
    <w:p>
      <w:r>
        <w:t>A cookie is a small data file stored by a browser. Similar technologies may store or access information on a device, transmit events, recognise a session, remember settings, protect an account, measure performance or support functionality.</w:t>
      </w:r>
    </w:p>
    <w:p>
      <w:r>
        <w:t>Some technologies are first-party, meaning set for our domain. Others are provided by third-party services such as hosting, security, website, analytics, AI, media, payment or communication providers.</w:t>
      </w:r>
    </w:p>
    <w:p>
      <w:pPr>
        <w:pStyle w:val="Heading2"/>
      </w:pPr>
      <w:r>
        <w:t>3. Categories</w:t>
      </w:r>
    </w:p>
    <w:p>
      <w:pPr>
        <w:pStyle w:val="Heading3"/>
      </w:pPr>
      <w:r>
        <w:t>3.1 Strictly necessary</w:t>
      </w:r>
    </w:p>
    <w:p>
      <w:r>
        <w:t>These technologies are required for core operation, security, consent choices, load balancing, fraud prevention, account authentication, session continuity, shopping-cart or transaction functions. They cannot normally be disabled through our consent tool because the requested service would not function properly.</w:t>
      </w:r>
    </w:p>
    <w:p>
      <w:pPr>
        <w:pStyle w:val="Heading3"/>
      </w:pPr>
      <w:r>
        <w:t>3.2 Functional and preference</w:t>
      </w:r>
    </w:p>
    <w:p>
      <w:r>
        <w:t>These remember language, display, accessibility, region, saved settings or optional features. They should be activated according to applicable consent requirements.</w:t>
      </w:r>
    </w:p>
    <w:p>
      <w:pPr>
        <w:pStyle w:val="Heading3"/>
      </w:pPr>
      <w:r>
        <w:t>3.3 Analytics and performance</w:t>
      </w:r>
    </w:p>
    <w:p>
      <w:r>
        <w:t>These help measure visits, navigation, errors, performance and service use. Where possible, analytics should use privacy-preserving settings, truncated identifiers, short retention and de-identification. Non-essential analytics should not load before valid consent where consent is required.</w:t>
      </w:r>
    </w:p>
    <w:p>
      <w:pPr>
        <w:pStyle w:val="Heading3"/>
      </w:pPr>
      <w:r>
        <w:t>3.4 AI and interactive service</w:t>
      </w:r>
    </w:p>
    <w:p>
      <w:r>
        <w:t>These may support chat, model sessions, abuse prevention, routing, feedback, personalisation or continuity in an AI interface. The collection notice must explain whether prompts, identifiers or transcripts are sent to an external provider.</w:t>
      </w:r>
    </w:p>
    <w:p>
      <w:pPr>
        <w:pStyle w:val="Heading3"/>
      </w:pPr>
      <w:r>
        <w:t>3.5 Marketing and advertising</w:t>
      </w:r>
    </w:p>
    <w:p>
      <w:r>
        <w:t>These may measure campaigns, build audiences or deliver targeted advertising. We do not activate advertising or cross-site tracking technologies unless they are actually used, disclosed in the live inventory and supported by any required consent or opt-out.</w:t>
      </w:r>
    </w:p>
    <w:p>
      <w:pPr>
        <w:pStyle w:val="Heading2"/>
      </w:pPr>
      <w:r>
        <w:t>4. Consent and controls</w:t>
      </w:r>
    </w:p>
    <w:p>
      <w:r>
        <w:t>We use a consent-management interface designed to provide:</w:t>
      </w:r>
    </w:p>
    <w:p>
      <w:pPr>
        <w:pStyle w:val="ListBullet"/>
      </w:pPr>
      <w:r>
        <w:t>a clear choice before non-essential technologies are activated where required;</w:t>
      </w:r>
    </w:p>
    <w:p>
      <w:pPr>
        <w:pStyle w:val="ListBullet"/>
      </w:pPr>
      <w:r>
        <w:t>equally accessible Accept all and Reject non-essential choices;</w:t>
      </w:r>
    </w:p>
    <w:p>
      <w:pPr>
        <w:pStyle w:val="ListBullet"/>
      </w:pPr>
      <w:r>
        <w:t>granular category controls;</w:t>
      </w:r>
    </w:p>
    <w:p>
      <w:pPr>
        <w:pStyle w:val="ListBullet"/>
      </w:pPr>
      <w:r>
        <w:t>no pre-selected non-essential categories;</w:t>
      </w:r>
    </w:p>
    <w:p>
      <w:pPr>
        <w:pStyle w:val="ListBullet"/>
      </w:pPr>
      <w:r>
        <w:t>a persistent link to reopen settings;</w:t>
      </w:r>
    </w:p>
    <w:p>
      <w:pPr>
        <w:pStyle w:val="ListBullet"/>
      </w:pPr>
      <w:r>
        <w:t>a record of consent version and choice; and</w:t>
      </w:r>
    </w:p>
    <w:p>
      <w:pPr>
        <w:pStyle w:val="ListBullet"/>
      </w:pPr>
      <w:r>
        <w:t>withdrawal as easily as consent was given.</w:t>
      </w:r>
    </w:p>
    <w:p>
      <w:r>
        <w:t>Strictly necessary technologies remain active where required to provide the requested service or preserve a privacy choice.</w:t>
      </w:r>
    </w:p>
    <w:p>
      <w:pPr>
        <w:pStyle w:val="Heading2"/>
      </w:pPr>
      <w:r>
        <w:t>5. Suggested cookie banner</w:t>
      </w:r>
    </w:p>
    <w:p>
      <w:r>
        <w:t>Title: Your privacy choices</w:t>
      </w:r>
    </w:p>
    <w:p>
      <w:r>
        <w:t>Text: We use necessary technologies to operate and secure this site. With your permission, we may also use functional and analytics technologies to improve services. Marketing technologies remain off unless specifically disclosed and accepted. You can accept, reject non-essential technologies or manage individual choices. See our Cookie Statement and Privacy Policy.</w:t>
      </w:r>
    </w:p>
    <w:p>
      <w:r>
        <w:t>Buttons: Accept all | Reject non-essential | Manage choices</w:t>
      </w:r>
    </w:p>
    <w:p>
      <w:r>
        <w:t>Persistent link: Privacy and cookie settings</w:t>
      </w:r>
    </w:p>
    <w:p>
      <w:pPr>
        <w:pStyle w:val="Heading2"/>
      </w:pPr>
      <w:r>
        <w:t>6. Live cookie inventory requirement</w:t>
      </w:r>
    </w:p>
    <w:p>
      <w:r>
        <w:t>Before publication, each domain must be scanned in public, logged-in, checkout, AI-chat and embedded-media states. The following fields must be published and kept current for every technology:</w:t>
      </w:r>
    </w:p>
    <w:p>
      <w:pPr>
        <w:pStyle w:val="ListBullet"/>
      </w:pPr>
      <w:r>
        <w:t>cookie or technology name;</w:t>
      </w:r>
    </w:p>
    <w:p>
      <w:pPr>
        <w:pStyle w:val="ListBullet"/>
      </w:pPr>
      <w:r>
        <w:t>provider and domain;</w:t>
      </w:r>
    </w:p>
    <w:p>
      <w:pPr>
        <w:pStyle w:val="ListBullet"/>
      </w:pPr>
      <w:r>
        <w:t>first-party or third-party status;</w:t>
      </w:r>
    </w:p>
    <w:p>
      <w:pPr>
        <w:pStyle w:val="ListBullet"/>
      </w:pPr>
      <w:r>
        <w:t>purpose and category;</w:t>
      </w:r>
    </w:p>
    <w:p>
      <w:pPr>
        <w:pStyle w:val="ListBullet"/>
      </w:pPr>
      <w:r>
        <w:t>personal information or device data involved;</w:t>
      </w:r>
    </w:p>
    <w:p>
      <w:pPr>
        <w:pStyle w:val="ListBullet"/>
      </w:pPr>
      <w:r>
        <w:t>trigger and legal/consent basis;</w:t>
      </w:r>
    </w:p>
    <w:p>
      <w:pPr>
        <w:pStyle w:val="ListBullet"/>
      </w:pPr>
      <w:r>
        <w:t>expiry or retention;</w:t>
      </w:r>
    </w:p>
    <w:p>
      <w:pPr>
        <w:pStyle w:val="ListBullet"/>
      </w:pPr>
      <w:r>
        <w:t>countries or regions of processing;</w:t>
      </w:r>
    </w:p>
    <w:p>
      <w:pPr>
        <w:pStyle w:val="ListBullet"/>
      </w:pPr>
      <w:r>
        <w:t>provider privacy link; and</w:t>
      </w:r>
    </w:p>
    <w:p>
      <w:pPr>
        <w:pStyle w:val="ListBullet"/>
      </w:pPr>
      <w:r>
        <w:t>method to disable or withdraw consent.</w:t>
      </w:r>
    </w:p>
    <w:p>
      <w:r>
        <w:t>A generic policy without an accurate live inventory is not sufficient for a site that activates non-essential tracking.</w:t>
      </w:r>
    </w:p>
    <w:p>
      <w:pPr>
        <w:pStyle w:val="Heading2"/>
      </w:pPr>
      <w:r>
        <w:t>7. Browser and device controls</w:t>
      </w:r>
    </w:p>
    <w:p>
      <w:r>
        <w:t>Browsers allow users to delete or block cookies, but blocking necessary technologies may prevent features from operating. Device, browser or network privacy controls may also limit tracking.</w:t>
      </w:r>
    </w:p>
    <w:p>
      <w:r>
        <w:t>Where legally required or technically supported, we will recognise applicable preference signals, such as a Global Privacy Control signal, for the purposes specified by law. A Do Not Track signal is not interpreted uniformly by industry; our live settings will explain supported signals.</w:t>
      </w:r>
    </w:p>
    <w:p>
      <w:pPr>
        <w:pStyle w:val="Heading2"/>
      </w:pPr>
      <w:r>
        <w:t>8. Third-party embeds</w:t>
      </w:r>
    </w:p>
    <w:p>
      <w:r>
        <w:t>Videos, maps, fonts, social media, payment tools, chat services and other embeds may place or access technologies. Optional embeds should use click-to-load or consent controls where appropriate. Third-party providers control their own cookies and privacy practices.</w:t>
      </w:r>
    </w:p>
    <w:p>
      <w:pPr>
        <w:pStyle w:val="Heading2"/>
      </w:pPr>
      <w:r>
        <w:t>9. Retention</w:t>
      </w:r>
    </w:p>
    <w:p>
      <w:r>
        <w:t>Session technologies expire when the session or browser closes unless needed for security or continuity. Persistent technologies remain for the period shown in the live inventory. Retention must be no longer than reasonably necessary for the stated purpose.</w:t>
      </w:r>
    </w:p>
    <w:p>
      <w:pPr>
        <w:pStyle w:val="Heading2"/>
      </w:pPr>
      <w:r>
        <w:t>10. Australia and international users</w:t>
      </w:r>
    </w:p>
    <w:p>
      <w:r>
        <w:t>Australian law regulates personal information and direct marketing that may involve tracking technologies. Other jurisdictions may require consent before information is stored on or accessed from a device. Our intended baseline is to obtain consent for non-essential technologies where required and to provide meaningful choices globally where practicable.</w:t>
      </w:r>
    </w:p>
    <w:p>
      <w:pPr>
        <w:pStyle w:val="Heading2"/>
      </w:pPr>
      <w:r>
        <w:t>11. Changes and contact</w:t>
      </w:r>
    </w:p>
    <w:p>
      <w:r>
        <w:t>We may update this statement when technologies, providers or law change. Contact legal@enterprisecorporated.com for privacy or cookie questions.</w:t>
      </w:r>
    </w:p>
    <w:p>
      <w:r>
        <w:br w:type="page"/>
      </w:r>
    </w:p>
    <w:p>
      <w:pPr>
        <w:pStyle w:val="Heading1"/>
      </w:pPr>
      <w:r>
        <w:t>AI AND AUTOMATED SYSTEMS NOTICE</w:t>
      </w:r>
    </w:p>
    <w:p>
      <w:r>
        <w:t>Effective date: 29 July 2026</w:t>
      </w:r>
    </w:p>
    <w:p>
      <w:pPr>
        <w:pStyle w:val="Heading2"/>
      </w:pPr>
      <w:r>
        <w:t>1. Purpose</w:t>
      </w:r>
    </w:p>
    <w:p>
      <w:r>
        <w:t>This notice applies where Enterprise Corporated provides or displays artificial-intelligence, machine-learning, generative, classification, agentic, search, recommendation, automation or decision-support functions.</w:t>
      </w:r>
    </w:p>
    <w:p>
      <w:pPr>
        <w:pStyle w:val="Heading2"/>
      </w:pPr>
      <w:r>
        <w:t>2. Nature of AI output</w:t>
      </w:r>
    </w:p>
    <w:p>
      <w:r>
        <w:t>AI output is probabilistic and may be inaccurate, incomplete, outdated, non-unique, inconsistent or affected by data and model limitations. Output may contain errors, invented citations, insecure code, biased assumptions, inappropriate recommendations or material that resembles third-party content.</w:t>
      </w:r>
    </w:p>
    <w:p>
      <w:r>
        <w:t>AI output is a candidate or draft unless an authorised human has reviewed and approved it for the stated purpose. The user must apply independent judgement and appropriate professional review.</w:t>
      </w:r>
    </w:p>
    <w:p>
      <w:pPr>
        <w:pStyle w:val="Heading2"/>
      </w:pPr>
      <w:r>
        <w:t>3. No professional substitution</w:t>
      </w:r>
    </w:p>
    <w:p>
      <w:r>
        <w:t>AI functions do not replace a lawyer, patent attorney, engineer, cybersecurity assessor, financial adviser, medical practitioner, forensic expert or other qualified professional. They do not provide a patentability, validity, infringement, freedom-to-operate, regulatory, security or investment opinion.</w:t>
      </w:r>
    </w:p>
    <w:p>
      <w:pPr>
        <w:pStyle w:val="Heading2"/>
      </w:pPr>
      <w:r>
        <w:t>4. Human authority and significant decisions</w:t>
      </w:r>
    </w:p>
    <w:p>
      <w:r>
        <w:t>Enterprise Corporated's intended governance model preserves human authority over material release, publication, licensing, legal use and significant decisions. We do not intend to rely solely on automated processing for decisions that produce legal or similarly significant effects without appropriate notice, lawful basis, safeguards and human review.</w:t>
      </w:r>
    </w:p>
    <w:p>
      <w:r>
        <w:t>Users must not delegate final responsibility for high-impact decisions to an AI function unless an expressly approved service and governance process applies.</w:t>
      </w:r>
    </w:p>
    <w:p>
      <w:pPr>
        <w:pStyle w:val="Heading2"/>
      </w:pPr>
      <w:r>
        <w:t>5. Input restrictions</w:t>
      </w:r>
    </w:p>
    <w:p>
      <w:r>
        <w:t>Do not enter:</w:t>
      </w:r>
    </w:p>
    <w:p>
      <w:pPr>
        <w:pStyle w:val="ListBullet"/>
      </w:pPr>
      <w:r>
        <w:t>private keys, passwords, seed phrases, API tokens or secret credentials;</w:t>
      </w:r>
    </w:p>
    <w:p>
      <w:pPr>
        <w:pStyle w:val="ListBullet"/>
      </w:pPr>
      <w:r>
        <w:t>classified, export-controlled or unlawfully obtained material;</w:t>
      </w:r>
    </w:p>
    <w:p>
      <w:pPr>
        <w:pStyle w:val="ListBullet"/>
      </w:pPr>
      <w:r>
        <w:t>privileged legal communications unless an approved confidential service expressly supports them;</w:t>
      </w:r>
    </w:p>
    <w:p>
      <w:pPr>
        <w:pStyle w:val="ListBullet"/>
      </w:pPr>
      <w:r>
        <w:t>sensitive personal information unless necessary, lawful and authorised;</w:t>
      </w:r>
    </w:p>
    <w:p>
      <w:pPr>
        <w:pStyle w:val="ListBullet"/>
      </w:pPr>
      <w:r>
        <w:t>unpublished enabling patent or trade-secret material through a public or unapproved model; or</w:t>
      </w:r>
    </w:p>
    <w:p>
      <w:pPr>
        <w:pStyle w:val="ListBullet"/>
      </w:pPr>
      <w:r>
        <w:t>content that infringes rights or violates law.</w:t>
      </w:r>
    </w:p>
    <w:p>
      <w:pPr>
        <w:pStyle w:val="Heading2"/>
      </w:pPr>
      <w:r>
        <w:t>6. Customer ownership and processing</w:t>
      </w:r>
    </w:p>
    <w:p>
      <w:r>
        <w:t>Customers retain rights they lawfully hold in inputs. Rights in outputs depend on applicable law, third-party model terms, originality and the signed agreement. Enterprise Corporated does not guarantee that an AI output is protectable, exclusive or non-infringing.</w:t>
      </w:r>
    </w:p>
    <w:p>
      <w:r>
        <w:t>Customer Confidential Information will not intentionally be used to train a general-purpose model for unrelated customers unless expressly authorised in writing. Before confidential use, the actual model provider, retention, training setting, region, subprocessors and deletion controls must be verified.</w:t>
      </w:r>
    </w:p>
    <w:p>
      <w:pPr>
        <w:pStyle w:val="Heading2"/>
      </w:pPr>
      <w:r>
        <w:t>7. Third-party AI providers</w:t>
      </w:r>
    </w:p>
    <w:p>
      <w:r>
        <w:t>A service may route requests to an external AI provider. The service-specific notice must identify the provider category, whether content is retained or used for provider improvement, applicable region, and available controls. Third-party terms may apply.</w:t>
      </w:r>
    </w:p>
    <w:p>
      <w:pPr>
        <w:pStyle w:val="Heading2"/>
      </w:pPr>
      <w:r>
        <w:t>8. Safety and prohibited use</w:t>
      </w:r>
    </w:p>
    <w:p>
      <w:r>
        <w:t>AI functions must not be used to facilitate unlawful access, malicious code deployment, fraud, impersonation, harassment, exploitation, discrimination, child abuse, weapons harm, self-harm encouragement, privacy invasion, rights infringement, deceptive evidence, false professional credentials or prohibited high-risk activity.</w:t>
      </w:r>
    </w:p>
    <w:p>
      <w:r>
        <w:t>Defensive cybersecurity, forensic and research uses require lawful authority, controlled scope and compliance with the Acceptable Use Policy.</w:t>
      </w:r>
    </w:p>
    <w:p>
      <w:pPr>
        <w:pStyle w:val="Heading2"/>
      </w:pPr>
      <w:r>
        <w:t>9. Intellectual property and provenance</w:t>
      </w:r>
    </w:p>
    <w:p>
      <w:r>
        <w:t>AI assistance may affect authorship, inventorship, copyright and patent analysis. Users must accurately record material human contributions, model assistance, source material, review and approval where those facts are legally or evidentially relevant.</w:t>
      </w:r>
    </w:p>
    <w:p>
      <w:r>
        <w:t>Hashes, signatures, timestamps and AI interaction records can support provenance but do not conclusively determine legal inventorship, authorship or ownership.</w:t>
      </w:r>
    </w:p>
    <w:p>
      <w:pPr>
        <w:pStyle w:val="Heading2"/>
      </w:pPr>
      <w:r>
        <w:t>10. Testing, monitoring and change</w:t>
      </w:r>
    </w:p>
    <w:p>
      <w:r>
        <w:t>AI systems may be tested, monitored, logged, filtered, rate-limited, evaluated and updated for quality, safety, security and compliance. Model behaviour can change when a provider or configuration changes. Material deployments should use version, test, approval and rollback controls.</w:t>
      </w:r>
    </w:p>
    <w:p>
      <w:pPr>
        <w:pStyle w:val="Heading2"/>
      </w:pPr>
      <w:r>
        <w:t>11. Complaints and review</w:t>
      </w:r>
    </w:p>
    <w:p>
      <w:r>
        <w:t>Report an AI output concern, rights issue or request for human review to legal@enterprisecorporated.com. Provide the date, service, relevant output and reason, excluding private keys or unnecessary sensitive information.</w:t>
      </w:r>
    </w:p>
    <w:p>
      <w:r>
        <w:br w:type="page"/>
      </w:r>
    </w:p>
    <w:p>
      <w:pPr>
        <w:pStyle w:val="Heading1"/>
      </w:pPr>
      <w:r>
        <w:t>ACCEPTABLE USE POLICY</w:t>
      </w:r>
    </w:p>
    <w:p>
      <w:r>
        <w:t>Effective date: 29 July 2026</w:t>
      </w:r>
    </w:p>
    <w:p>
      <w:pPr>
        <w:pStyle w:val="Heading2"/>
      </w:pPr>
      <w:r>
        <w:t>1. Application</w:t>
      </w:r>
    </w:p>
    <w:p>
      <w:r>
        <w:t>This Acceptable Use Policy applies to all users of the websites, Accounts, AI interfaces, APIs, software, portals, evaluation environments and Enterprise Services. It supplements the Terms and Conditions.</w:t>
      </w:r>
    </w:p>
    <w:p>
      <w:pPr>
        <w:pStyle w:val="Heading2"/>
      </w:pPr>
      <w:r>
        <w:t>2. Lawful authority</w:t>
      </w:r>
    </w:p>
    <w:p>
      <w:r>
        <w:t>You may use security, forensic, evidence, invention, AI and technical features only for systems, data and activities you own or are lawfully authorised to assess. You must comply with law, contractual restrictions, professional obligations and third-party rights.</w:t>
      </w:r>
    </w:p>
    <w:p>
      <w:pPr>
        <w:pStyle w:val="Heading2"/>
      </w:pPr>
      <w:r>
        <w:t>3. Prohibited activity</w:t>
      </w:r>
    </w:p>
    <w:p>
      <w:r>
        <w:t>You must not use the Services to:</w:t>
      </w:r>
    </w:p>
    <w:p>
      <w:pPr>
        <w:pStyle w:val="ListBullet"/>
      </w:pPr>
      <w:r>
        <w:t>commit, facilitate, conceal or encourage crime, fraud, deception, extortion or unlawful surveillance;</w:t>
      </w:r>
    </w:p>
    <w:p>
      <w:pPr>
        <w:pStyle w:val="ListBullet"/>
      </w:pPr>
      <w:r>
        <w:t>access, interfere with, test or control systems without authority;</w:t>
      </w:r>
    </w:p>
    <w:p>
      <w:pPr>
        <w:pStyle w:val="ListBullet"/>
      </w:pPr>
      <w:r>
        <w:t>create, deliver or operate malware, ransomware, credential theft, destructive payloads, botnets or denial-of-service attacks;</w:t>
      </w:r>
    </w:p>
    <w:p>
      <w:pPr>
        <w:pStyle w:val="ListBullet"/>
      </w:pPr>
      <w:r>
        <w:t>evade authentication, security controls, usage limits, sanctions screening or safety measures;</w:t>
      </w:r>
    </w:p>
    <w:p>
      <w:pPr>
        <w:pStyle w:val="ListBullet"/>
      </w:pPr>
      <w:r>
        <w:t>collect, infer, publish, identify or trade personal information unlawfully;</w:t>
      </w:r>
    </w:p>
    <w:p>
      <w:pPr>
        <w:pStyle w:val="ListBullet"/>
      </w:pPr>
      <w:r>
        <w:t>exploit, sexualise or endanger children or distribute illegal or age-restricted material;</w:t>
      </w:r>
    </w:p>
    <w:p>
      <w:pPr>
        <w:pStyle w:val="ListBullet"/>
      </w:pPr>
      <w:r>
        <w:t>threaten, harass, stalk, discriminate, defame, impersonate or manipulate people unlawfully;</w:t>
      </w:r>
    </w:p>
    <w:p>
      <w:pPr>
        <w:pStyle w:val="ListBullet"/>
      </w:pPr>
      <w:r>
        <w:t>create deceptive evidence, false signatures, fabricated timestamps, falsified chain-of-custody records or fraudulent professional documents;</w:t>
      </w:r>
    </w:p>
    <w:p>
      <w:pPr>
        <w:pStyle w:val="ListBullet"/>
      </w:pPr>
      <w:r>
        <w:t>infringe copyright, trade marks, patents, designs, confidentiality, trade secrets, privacy, publicity or contractual rights;</w:t>
      </w:r>
    </w:p>
    <w:p>
      <w:pPr>
        <w:pStyle w:val="ListBullet"/>
      </w:pPr>
      <w:r>
        <w:t>send spam, unlawful marketing, phishing or misleading communications;</w:t>
      </w:r>
    </w:p>
    <w:p>
      <w:pPr>
        <w:pStyle w:val="ListBullet"/>
      </w:pPr>
      <w:r>
        <w:t>produce or facilitate prohibited weapons, biological, chemical, radiological or other severe harm;</w:t>
      </w:r>
    </w:p>
    <w:p>
      <w:pPr>
        <w:pStyle w:val="ListBullet"/>
      </w:pPr>
      <w:r>
        <w:t>encourage self-harm or provide instructions designed to cause serious injury;</w:t>
      </w:r>
    </w:p>
    <w:p>
      <w:pPr>
        <w:pStyle w:val="ListBullet"/>
      </w:pPr>
      <w:r>
        <w:t>make high-impact eligibility, employment, credit, insurance, health, legal, policing or safety decisions without lawful governance and human review;</w:t>
      </w:r>
    </w:p>
    <w:p>
      <w:pPr>
        <w:pStyle w:val="ListBullet"/>
      </w:pPr>
      <w:r>
        <w:t>submit private keys, secrets, regulated data or confidential third-party material without approval;</w:t>
      </w:r>
    </w:p>
    <w:p>
      <w:pPr>
        <w:pStyle w:val="ListBullet"/>
      </w:pPr>
      <w:r>
        <w:t>scrape, benchmark, extract, train on or replicate protected systems or content without permission;</w:t>
      </w:r>
    </w:p>
    <w:p>
      <w:pPr>
        <w:pStyle w:val="ListBullet"/>
      </w:pPr>
      <w:r>
        <w:t>resell, sublicense or provide access to unauthorised users; or</w:t>
      </w:r>
    </w:p>
    <w:p>
      <w:pPr>
        <w:pStyle w:val="ListBullet"/>
      </w:pPr>
      <w:r>
        <w:t>misrepresent affiliation, certification, security, patent status, human authorship or endorsement.</w:t>
      </w:r>
    </w:p>
    <w:p>
      <w:pPr>
        <w:pStyle w:val="Heading2"/>
      </w:pPr>
      <w:r>
        <w:t>4. Defensive security research</w:t>
      </w:r>
    </w:p>
    <w:p>
      <w:r>
        <w:t>Good-faith defensive research is permitted only within written scope or the Security and Responsible Disclosure Policy. Researchers must minimise access, stop when personal or confidential data is encountered, avoid persistence or exfiltration, preserve evidence responsibly and report promptly.</w:t>
      </w:r>
    </w:p>
    <w:p>
      <w:pPr>
        <w:pStyle w:val="Heading2"/>
      </w:pPr>
      <w:r>
        <w:t>5. Content and data responsibility</w:t>
      </w:r>
    </w:p>
    <w:p>
      <w:r>
        <w:t>You are responsible for content you submit, publish or distribute. You must have rights and authority to use it and must apply appropriate classification, consent, minimisation and retention.</w:t>
      </w:r>
    </w:p>
    <w:p>
      <w:pPr>
        <w:pStyle w:val="Heading2"/>
      </w:pPr>
      <w:r>
        <w:t>6. Enforcement</w:t>
      </w:r>
    </w:p>
    <w:p>
      <w:r>
        <w:t>We may investigate suspected breaches using proportionate logs and evidence. We may warn, restrict, quarantine, remove content, suspend, terminate, preserve records or report conduct where reasonably necessary and lawful. Urgent action may be taken to prevent harm or comply with law.</w:t>
      </w:r>
    </w:p>
    <w:p>
      <w:pPr>
        <w:pStyle w:val="Heading2"/>
      </w:pPr>
      <w:r>
        <w:t>7. Appeals and contact</w:t>
      </w:r>
    </w:p>
    <w:p>
      <w:r>
        <w:t>A user may request review of an enforcement decision by contacting legal@enterprisecorporated.com. The request should identify the Account, decision and relevant facts. We may require identity and authority verification.</w:t>
      </w:r>
    </w:p>
    <w:p>
      <w:r>
        <w:br w:type="page"/>
      </w:r>
    </w:p>
    <w:p>
      <w:pPr>
        <w:pStyle w:val="Heading1"/>
      </w:pPr>
      <w:r>
        <w:t>INTELLECTUAL PROPERTY, PATENT AND CONFIDENTIALITY NOTICE</w:t>
      </w:r>
    </w:p>
    <w:p>
      <w:r>
        <w:t>Effective date: 29 July 2026</w:t>
      </w:r>
    </w:p>
    <w:p>
      <w:pPr>
        <w:pStyle w:val="Heading2"/>
      </w:pPr>
      <w:r>
        <w:t>1. Rights reservation</w:t>
      </w:r>
    </w:p>
    <w:p>
      <w:r>
        <w:t>Except where expressly stated, all rights are reserved. Website and service material may include copyright works, trade marks, patent rights and applications, designs, confidential information, trade secrets, database rights, contractual rights and technical protection measures.</w:t>
      </w:r>
    </w:p>
    <w:p>
      <w:r>
        <w:t>Enterprise Corporated, associated logos and names of systems, modules, services and technologies are proprietary identifiers claimed by their lawful owner. Use of the TM symbol does not represent that a mark is registered. Registered status should be claimed only where verified.</w:t>
      </w:r>
    </w:p>
    <w:p>
      <w:pPr>
        <w:pStyle w:val="Heading2"/>
      </w:pPr>
      <w:r>
        <w:t>2. Copyright</w:t>
      </w:r>
    </w:p>
    <w:p>
      <w:r>
        <w:t>Copyright subsists in original text, code, interfaces, graphics, diagrams, documentation, media, compilations and other works. You may view public content and make limited internal evaluation copies under the Terms. No republication, commercial reproduction, adaptation, translation, dataset creation, model training or distribution is permitted without written permission or a non-excludable legal right.</w:t>
      </w:r>
    </w:p>
    <w:p>
      <w:pPr>
        <w:pStyle w:val="Heading2"/>
      </w:pPr>
      <w:r>
        <w:t>3. Patents and inventions</w:t>
      </w:r>
    </w:p>
    <w:p>
      <w:r>
        <w:t>Website references may relate to filed applications, provisional applications, unfiled concepts, confidential embodiments, historical records or development work. No licence to practise an invention is granted by publication, access, discussion or receipt.</w:t>
      </w:r>
    </w:p>
    <w:p>
      <w:r>
        <w:t>No representation is made that any invention is novel, inventive, valid, granted, enforceable, non-infringing or commercially successful unless a specific signed representation says so. Public summaries may deliberately omit enabling confidential detail.</w:t>
      </w:r>
    </w:p>
    <w:p>
      <w:pPr>
        <w:pStyle w:val="Heading2"/>
      </w:pPr>
      <w:r>
        <w:t>4. Confidential information and submissions</w:t>
      </w:r>
    </w:p>
    <w:p>
      <w:r>
        <w:t>Do not send confidential invention disclosures or trade secrets unless a written NDA and secure channel are in place. A public enquiry does not create confidentiality or establish priority, inventorship or ownership.</w:t>
      </w:r>
    </w:p>
    <w:p>
      <w:r>
        <w:t>Where a valid NDA applies, recipients must use information only for the authorised purpose, restrict access, protect it with appropriate care, preserve notices, notify incidents and return or destroy it as agreed.</w:t>
      </w:r>
    </w:p>
    <w:p>
      <w:pPr>
        <w:pStyle w:val="Heading2"/>
      </w:pPr>
      <w:r>
        <w:t>5. No licence by implication</w:t>
      </w:r>
    </w:p>
    <w:p>
      <w:r>
        <w:t>No licence, covenant not to sue, assignment, waiver, exhaustion, estoppel or transfer arises by implication. Licences must be express, written and signed, and should define the technology, field, territory, term, exclusivity, sublicensing, fees, improvements, source access, confidentiality, verification and termination.</w:t>
      </w:r>
    </w:p>
    <w:p>
      <w:pPr>
        <w:pStyle w:val="Heading2"/>
      </w:pPr>
      <w:r>
        <w:t>6. AI, scraping and training restrictions</w:t>
      </w:r>
    </w:p>
    <w:p>
      <w:r>
        <w:t>Unless expressly licensed, website content and restricted material must not be used to train, fine-tune, evaluate, benchmark or populate an AI or invention-generation system; construct a competing corpus; extract system prompts or protected logic; or generate derivative commercial products.</w:t>
      </w:r>
    </w:p>
    <w:p>
      <w:r>
        <w:t>Search-engine indexing of public pages is permitted only in accordance with published technical controls and ordinary indexing practice. This does not permit bulk extraction or commercial reuse.</w:t>
      </w:r>
    </w:p>
    <w:p>
      <w:pPr>
        <w:pStyle w:val="Heading2"/>
      </w:pPr>
      <w:r>
        <w:t>7. Evidence and provenance</w:t>
      </w:r>
    </w:p>
    <w:p>
      <w:r>
        <w:t>A hash, signature, timestamp, watermark, metadata record, manifest or custody log is an evidence artefact. Altering or removing an evidence notice is prohibited. Verification confirms only the stated technical property and does not substitute for legal proof of the underlying proposition.</w:t>
      </w:r>
    </w:p>
    <w:p>
      <w:pPr>
        <w:pStyle w:val="Heading2"/>
      </w:pPr>
      <w:r>
        <w:t>8. Rights complaints</w:t>
      </w:r>
    </w:p>
    <w:p>
      <w:r>
        <w:t>A person who believes website material infringes a right should contact legal@enterprisecorporated.com and provide:</w:t>
      </w:r>
    </w:p>
    <w:p>
      <w:pPr>
        <w:pStyle w:val="ListBullet"/>
      </w:pPr>
      <w:r>
        <w:t>identity and contact details;</w:t>
      </w:r>
    </w:p>
    <w:p>
      <w:pPr>
        <w:pStyle w:val="ListBullet"/>
      </w:pPr>
      <w:r>
        <w:t>the right claimed and evidence of ownership or authority;</w:t>
      </w:r>
    </w:p>
    <w:p>
      <w:pPr>
        <w:pStyle w:val="ListBullet"/>
      </w:pPr>
      <w:r>
        <w:t>the precise URL or material;</w:t>
      </w:r>
    </w:p>
    <w:p>
      <w:pPr>
        <w:pStyle w:val="ListBullet"/>
      </w:pPr>
      <w:r>
        <w:t>the alleged infringement and requested action;</w:t>
      </w:r>
    </w:p>
    <w:p>
      <w:pPr>
        <w:pStyle w:val="ListBullet"/>
      </w:pPr>
      <w:r>
        <w:t>a statement that the notice is accurate and made in good faith; and</w:t>
      </w:r>
    </w:p>
    <w:p>
      <w:pPr>
        <w:pStyle w:val="ListBullet"/>
      </w:pPr>
      <w:r>
        <w:t>any relevant court order, registration or correspondence.</w:t>
      </w:r>
    </w:p>
    <w:p>
      <w:r>
        <w:t>We may request further information, restrict access while assessing the notice, notify the affected user and preserve records. False or abusive notices may be rejected.</w:t>
      </w:r>
    </w:p>
    <w:p>
      <w:pPr>
        <w:pStyle w:val="Heading2"/>
      </w:pPr>
      <w:r>
        <w:t>9. Permission requests</w:t>
      </w:r>
    </w:p>
    <w:p>
      <w:r>
        <w:t>Requests to quote, reproduce, licence, evaluate, integrate or commercialise material must be sent to legal@enterprisecorporated.com. No permission exists unless confirmed in writing by an authorised signatory.</w:t>
      </w:r>
    </w:p>
    <w:p>
      <w:r>
        <w:br w:type="page"/>
      </w:r>
    </w:p>
    <w:p>
      <w:pPr>
        <w:pStyle w:val="Heading1"/>
      </w:pPr>
      <w:r>
        <w:t>SECURITY AND RESPONSIBLE DISCLOSURE POLICY</w:t>
      </w:r>
    </w:p>
    <w:p>
      <w:r>
        <w:t>Effective date: 29 July 2026</w:t>
      </w:r>
    </w:p>
    <w:p>
      <w:pPr>
        <w:pStyle w:val="Heading2"/>
      </w:pPr>
      <w:r>
        <w:t>1. Purpose</w:t>
      </w:r>
    </w:p>
    <w:p>
      <w:r>
        <w:t>We welcome good-faith reports that help protect authorised systems and users. This policy does not create an open-ended penetration-testing authorisation, bounty promise or permission to access data.</w:t>
      </w:r>
    </w:p>
    <w:p>
      <w:pPr>
        <w:pStyle w:val="Heading2"/>
      </w:pPr>
      <w:r>
        <w:t>2. Contact</w:t>
      </w:r>
    </w:p>
    <w:p>
      <w:r>
        <w:t>Send reports to legal@enterprisecorporated.com with the subject SECURITY REPORT. Do not include exploit code or personal information beyond what is necessary in the first message. We may provide a secure transfer method.</w:t>
      </w:r>
    </w:p>
    <w:p>
      <w:pPr>
        <w:pStyle w:val="Heading2"/>
      </w:pPr>
      <w:r>
        <w:t>3. In-scope activity</w:t>
      </w:r>
    </w:p>
    <w:p>
      <w:r>
        <w:t>Testing is in scope only where:</w:t>
      </w:r>
    </w:p>
    <w:p>
      <w:pPr>
        <w:pStyle w:val="ListBullet"/>
      </w:pPr>
      <w:r>
        <w:t>it concerns a publicly accessible Enterprise Corporated system expressly identified as eligible;</w:t>
      </w:r>
    </w:p>
    <w:p>
      <w:pPr>
        <w:pStyle w:val="ListBullet"/>
      </w:pPr>
      <w:r>
        <w:t>it uses the researcher's own Account and data;</w:t>
      </w:r>
    </w:p>
    <w:p>
      <w:pPr>
        <w:pStyle w:val="ListBullet"/>
      </w:pPr>
      <w:r>
        <w:t>it is non-destructive and proportionate;</w:t>
      </w:r>
    </w:p>
    <w:p>
      <w:pPr>
        <w:pStyle w:val="ListBullet"/>
      </w:pPr>
      <w:r>
        <w:t>it avoids automated volume that affects availability;</w:t>
      </w:r>
    </w:p>
    <w:p>
      <w:pPr>
        <w:pStyle w:val="ListBullet"/>
      </w:pPr>
      <w:r>
        <w:t>it stops immediately if third-party, personal, confidential or restricted data is encountered; and</w:t>
      </w:r>
    </w:p>
    <w:p>
      <w:pPr>
        <w:pStyle w:val="ListBullet"/>
      </w:pPr>
      <w:r>
        <w:t>the issue is reported promptly and kept confidential while remediation is assessed.</w:t>
      </w:r>
    </w:p>
    <w:p>
      <w:r>
        <w:t>A current scope list must be published before active testing is invited. In the absence of an express scope list, only passive observation and non-invasive verification are authorised.</w:t>
      </w:r>
    </w:p>
    <w:p>
      <w:pPr>
        <w:pStyle w:val="Heading2"/>
      </w:pPr>
      <w:r>
        <w:t>4. Prohibited research</w:t>
      </w:r>
    </w:p>
    <w:p>
      <w:r>
        <w:t>Do not:</w:t>
      </w:r>
    </w:p>
    <w:p>
      <w:pPr>
        <w:pStyle w:val="ListBullet"/>
      </w:pPr>
      <w:r>
        <w:t>access, modify, download, retain or disclose another person's data;</w:t>
      </w:r>
    </w:p>
    <w:p>
      <w:pPr>
        <w:pStyle w:val="ListBullet"/>
      </w:pPr>
      <w:r>
        <w:t>use phishing, social engineering, credential stuffing or physical intrusion;</w:t>
      </w:r>
    </w:p>
    <w:p>
      <w:pPr>
        <w:pStyle w:val="ListBullet"/>
      </w:pPr>
      <w:r>
        <w:t>perform denial-of-service, destructive, persistence, ransomware or malware testing;</w:t>
      </w:r>
    </w:p>
    <w:p>
      <w:pPr>
        <w:pStyle w:val="ListBullet"/>
      </w:pPr>
      <w:r>
        <w:t>attack third-party providers, production dependencies or customer systems;</w:t>
      </w:r>
    </w:p>
    <w:p>
      <w:pPr>
        <w:pStyle w:val="ListBullet"/>
      </w:pPr>
      <w:r>
        <w:t>bypass payment, licensing or account controls for benefit;</w:t>
      </w:r>
    </w:p>
    <w:p>
      <w:pPr>
        <w:pStyle w:val="ListBullet"/>
      </w:pPr>
      <w:r>
        <w:t>threaten disclosure, demand payment or use coercion;</w:t>
      </w:r>
    </w:p>
    <w:p>
      <w:pPr>
        <w:pStyle w:val="ListBullet"/>
      </w:pPr>
      <w:r>
        <w:t>publish before written coordination;</w:t>
      </w:r>
    </w:p>
    <w:p>
      <w:pPr>
        <w:pStyle w:val="ListBullet"/>
      </w:pPr>
      <w:r>
        <w:t>degrade availability or consume unreasonable resources; or</w:t>
      </w:r>
    </w:p>
    <w:p>
      <w:pPr>
        <w:pStyle w:val="ListBullet"/>
      </w:pPr>
      <w:r>
        <w:t>test from a jurisdiction or in a manner prohibited by law.</w:t>
      </w:r>
    </w:p>
    <w:p>
      <w:pPr>
        <w:pStyle w:val="Heading2"/>
      </w:pPr>
      <w:r>
        <w:t>5. Reporting content</w:t>
      </w:r>
    </w:p>
    <w:p>
      <w:r>
        <w:t>A useful report includes the affected URL or component, date and time, steps to reproduce, impact, prerequisites, screenshots or logs, and a safe remediation suggestion. Remove unnecessary personal information and secrets.</w:t>
      </w:r>
    </w:p>
    <w:p>
      <w:pPr>
        <w:pStyle w:val="Heading2"/>
      </w:pPr>
      <w:r>
        <w:t>6. Our process</w:t>
      </w:r>
    </w:p>
    <w:p>
      <w:r>
        <w:t>We aim to acknowledge a credible report within 5 business days, triage it according to severity, communicate material progress where practicable and coordinate remediation and disclosure. These are targets, not service-level guarantees.</w:t>
      </w:r>
    </w:p>
    <w:p>
      <w:r>
        <w:t>We may request identity verification, a confidentiality undertaking, additional evidence or retesting. We decide whether and how to credit a researcher. No payment or reward is promised unless agreed in writing before or after assessment.</w:t>
      </w:r>
    </w:p>
    <w:p>
      <w:pPr>
        <w:pStyle w:val="Heading2"/>
      </w:pPr>
      <w:r>
        <w:t>7. Good-faith treatment</w:t>
      </w:r>
    </w:p>
    <w:p>
      <w:r>
        <w:t>Where a researcher complies with this policy, acts to avoid harm and reports promptly, our general position is not to pursue a complaint solely for that compliant research. This statement cannot bind third parties, regulators or law enforcement and does not protect conduct outside scope or contrary to law.</w:t>
      </w:r>
    </w:p>
    <w:p>
      <w:pPr>
        <w:pStyle w:val="Heading2"/>
      </w:pPr>
      <w:r>
        <w:t>8. Security claims and cryptography</w:t>
      </w:r>
    </w:p>
    <w:p>
      <w:r>
        <w:t>Reports should distinguish implemented controls from planned, experimental or marketing descriptions. A post-quantum-ready or algorithm-agile design is not equivalent to verified deployment of a post-quantum algorithm. Do not request or submit private keys.</w:t>
      </w:r>
    </w:p>
    <w:p>
      <w:r>
        <w:br w:type="page"/>
      </w:r>
    </w:p>
    <w:p>
      <w:pPr>
        <w:pStyle w:val="Heading1"/>
      </w:pPr>
      <w:r>
        <w:t>ENTERPRISE EVALUATION, PILOT AND LICENSING WEBSITE TERMS</w:t>
      </w:r>
    </w:p>
    <w:p>
      <w:r>
        <w:t>Effective date: 29 July 2026</w:t>
      </w:r>
    </w:p>
    <w:p>
      <w:pPr>
        <w:pStyle w:val="Heading2"/>
      </w:pPr>
      <w:r>
        <w:t>1. Preliminary status</w:t>
      </w:r>
    </w:p>
    <w:p>
      <w:r>
        <w:t>Website descriptions, demonstrations, one-page summaries, proposals and discussions are invitations to evaluate and negotiate only. They do not create a licence, exclusivity, reservation, partnership, acquisition right or binding service commitment.</w:t>
      </w:r>
    </w:p>
    <w:p>
      <w:r>
        <w:t>An enterprise evaluation, pilot, proof of concept, licence, implementation, source-code access, evidence service or commercial transaction requires a signed order form or agreement.</w:t>
      </w:r>
    </w:p>
    <w:p>
      <w:pPr>
        <w:pStyle w:val="Heading2"/>
      </w:pPr>
      <w:r>
        <w:t>2. Due diligence and authority</w:t>
      </w:r>
    </w:p>
    <w:p>
      <w:r>
        <w:t>Each party must conduct its own legal, technical, security, privacy, patent, financial, regulatory and commercial due diligence. A person requesting access must be authorised by the represented organisation and may be required to complete identity, conflict, sanctions, end-use and security checks.</w:t>
      </w:r>
    </w:p>
    <w:p>
      <w:pPr>
        <w:pStyle w:val="Heading2"/>
      </w:pPr>
      <w:r>
        <w:t>3. Confidentiality and clean channels</w:t>
      </w:r>
    </w:p>
    <w:p>
      <w:r>
        <w:t>Confidential material will be exchanged only under an applicable NDA and approved channel. Public website material should not be treated as an enabling disclosure of confidential embodiments. Recipients must not combine confidential evaluation material with public repositories, unrestricted AI tools or third-party systems unless authorised.</w:t>
      </w:r>
    </w:p>
    <w:p>
      <w:pPr>
        <w:pStyle w:val="Heading2"/>
      </w:pPr>
      <w:r>
        <w:t>4. Evaluation licence</w:t>
      </w:r>
    </w:p>
    <w:p>
      <w:r>
        <w:t>Unless a signed agreement says otherwise, evaluation access is personal to the approved organisation, limited, revocable, non-exclusive, non-transferable, non-production and solely for internal assessment during the stated period.</w:t>
      </w:r>
    </w:p>
    <w:p>
      <w:r>
        <w:t>The evaluator must not commercialise, deploy, publish, benchmark publicly, reverse engineer, derive competing technology, file an IP right based on protected material, remove controls or disclose results without permission.</w:t>
      </w:r>
    </w:p>
    <w:p>
      <w:pPr>
        <w:pStyle w:val="Heading2"/>
      </w:pPr>
      <w:r>
        <w:t>5. Production release</w:t>
      </w:r>
    </w:p>
    <w:p>
      <w:r>
        <w:t>Evaluation output, candidate inventions, draft specifications, prototype code, security controls and evidence packages are not production-release material unless expressly approved in writing after required testing, legal review, security review, acceptance and release governance.</w:t>
      </w:r>
    </w:p>
    <w:p>
      <w:pPr>
        <w:pStyle w:val="Heading2"/>
      </w:pPr>
      <w:r>
        <w:t>6. Intellectual property allocation</w:t>
      </w:r>
    </w:p>
    <w:p>
      <w:r>
        <w:t>The signed agreement must specify:</w:t>
      </w:r>
    </w:p>
    <w:p>
      <w:pPr>
        <w:pStyle w:val="ListBullet"/>
      </w:pPr>
      <w:r>
        <w:t>background intellectual property of each party;</w:t>
      </w:r>
    </w:p>
    <w:p>
      <w:pPr>
        <w:pStyle w:val="ListBullet"/>
      </w:pPr>
      <w:r>
        <w:t>ownership and licence of project deliverables;</w:t>
      </w:r>
    </w:p>
    <w:p>
      <w:pPr>
        <w:pStyle w:val="ListBullet"/>
      </w:pPr>
      <w:r>
        <w:t>invention disclosure and inventorship procedures;</w:t>
      </w:r>
    </w:p>
    <w:p>
      <w:pPr>
        <w:pStyle w:val="ListBullet"/>
      </w:pPr>
      <w:r>
        <w:t>treatment of improvements, feedback and derivative works;</w:t>
      </w:r>
    </w:p>
    <w:p>
      <w:pPr>
        <w:pStyle w:val="ListBullet"/>
      </w:pPr>
      <w:r>
        <w:t>patent filing, prosecution, maintenance and enforcement control;</w:t>
      </w:r>
    </w:p>
    <w:p>
      <w:pPr>
        <w:pStyle w:val="ListBullet"/>
      </w:pPr>
      <w:r>
        <w:t>source code and documentation access;</w:t>
      </w:r>
    </w:p>
    <w:p>
      <w:pPr>
        <w:pStyle w:val="ListBullet"/>
      </w:pPr>
      <w:r>
        <w:t>data, model and training rights;</w:t>
      </w:r>
    </w:p>
    <w:p>
      <w:pPr>
        <w:pStyle w:val="ListBullet"/>
      </w:pPr>
      <w:r>
        <w:t>evidence custody and verification;</w:t>
      </w:r>
    </w:p>
    <w:p>
      <w:pPr>
        <w:pStyle w:val="ListBullet"/>
      </w:pPr>
      <w:r>
        <w:t>confidentiality and publication controls; and</w:t>
      </w:r>
    </w:p>
    <w:p>
      <w:pPr>
        <w:pStyle w:val="ListBullet"/>
      </w:pPr>
      <w:r>
        <w:t>licence scope, field, territory, term, exclusivity, sublicensing and fees.</w:t>
      </w:r>
    </w:p>
    <w:p>
      <w:r>
        <w:t>No ownership transfer occurs merely because a customer pays for an evaluation or contributes feedback.</w:t>
      </w:r>
    </w:p>
    <w:p>
      <w:pPr>
        <w:pStyle w:val="Heading2"/>
      </w:pPr>
      <w:r>
        <w:t>7. Customer data and secure processing</w:t>
      </w:r>
    </w:p>
    <w:p>
      <w:r>
        <w:t>Customer data will be processed only for authorised purposes under the Privacy Policy, service notice and agreement. The customer must classify data and must not provide restricted material until the environment is approved.</w:t>
      </w:r>
    </w:p>
    <w:p>
      <w:r>
        <w:t>Private keys remain under customer or expressly agreed managed custody. Evidence records and cryptographic artefacts must be handled according to the agreed custody model.</w:t>
      </w:r>
    </w:p>
    <w:p>
      <w:pPr>
        <w:pStyle w:val="Heading2"/>
      </w:pPr>
      <w:r>
        <w:t>8. Patent and forensic limitations</w:t>
      </w:r>
    </w:p>
    <w:p>
      <w:r>
        <w:t>Invention-generation, patent-support, evidence and provenance services support workflow and documentation. They do not replace a registered patent attorney, legal opinion, prior-art search, inventorship determination, court expert or official filing.</w:t>
      </w:r>
    </w:p>
    <w:p>
      <w:r>
        <w:t>Chronology, custody and integrity evidence does not guarantee priority, entitlement, patent validity, admissibility or outcome.</w:t>
      </w:r>
    </w:p>
    <w:p>
      <w:pPr>
        <w:pStyle w:val="Heading2"/>
      </w:pPr>
      <w:r>
        <w:t>9. Security and compliance</w:t>
      </w:r>
    </w:p>
    <w:p>
      <w:r>
        <w:t>Each production deployment requires a documented security scope, threat model, data classification, architecture, responsibilities, incident process, testing standard and acceptance criteria. Claims of certification, quantum safety, post-quantum deployment or regulatory compliance must be supported by the agreed evidence.</w:t>
      </w:r>
    </w:p>
    <w:p>
      <w:pPr>
        <w:pStyle w:val="Heading2"/>
      </w:pPr>
      <w:r>
        <w:t>10. Fees, taxes and payment</w:t>
      </w:r>
    </w:p>
    <w:p>
      <w:r>
        <w:t>Fees, milestones, expenses, taxes, currency, late-payment rights and refunds will be stated in the signed order. Unless expressly included, third-party costs, professional fees, filing fees, hosting, certificates, model usage and travel are additional.</w:t>
      </w:r>
    </w:p>
    <w:p>
      <w:pPr>
        <w:pStyle w:val="Heading2"/>
      </w:pPr>
      <w:r>
        <w:t>11. Warranties and acceptance</w:t>
      </w:r>
    </w:p>
    <w:p>
      <w:r>
        <w:t>Any warranty, service level, acceptance test or remedy must be stated in the signed agreement. Demonstrations and evaluation services are supplied for assessment and may contain limitations.</w:t>
      </w:r>
    </w:p>
    <w:p>
      <w:r>
        <w:t>Mandatory consumer rights are not excluded, although enterprise services acquired for business purposes may be subject to different lawful limitations.</w:t>
      </w:r>
    </w:p>
    <w:p>
      <w:pPr>
        <w:pStyle w:val="Heading2"/>
      </w:pPr>
      <w:r>
        <w:t>12. Publicity</w:t>
      </w:r>
    </w:p>
    <w:p>
      <w:r>
        <w:t>No party may use the other party's name, logo, relationship, results or confidential transaction details publicly without written approval, except where law requires disclosure.</w:t>
      </w:r>
    </w:p>
    <w:p>
      <w:pPr>
        <w:pStyle w:val="Heading2"/>
      </w:pPr>
      <w:r>
        <w:t>13. Export, sanctions and regulated sectors</w:t>
      </w:r>
    </w:p>
    <w:p>
      <w:r>
        <w:t>Access may be refused or conditioned where cryptography, cybersecurity, quantum technology, technical data, end use, customer identity, jurisdiction or sector raises export-control, sanctions, defence-trade, national-security or regulatory concerns.</w:t>
      </w:r>
    </w:p>
    <w:p>
      <w:pPr>
        <w:pStyle w:val="Heading2"/>
      </w:pPr>
      <w:r>
        <w:t>14. No exclusivity or reservation</w:t>
      </w:r>
    </w:p>
    <w:p>
      <w:r>
        <w:t>No evaluation slot, territory, sector, technology field, acquisition opportunity or exclusivity is reserved until a signed agreement and any required payment are complete.</w:t>
      </w:r>
    </w:p>
    <w:p>
      <w:r>
        <w:br w:type="page"/>
      </w:r>
    </w:p>
    <w:p>
      <w:pPr>
        <w:pStyle w:val="Heading1"/>
      </w:pPr>
      <w:r>
        <w:t>ACCESSIBILITY STATEMENT</w:t>
      </w:r>
    </w:p>
    <w:p>
      <w:r>
        <w:t>Effective date: 29 July 2026</w:t>
      </w:r>
    </w:p>
    <w:p>
      <w:r>
        <w:t>Enterprise Corporated aims to make its websites and digital services reasonably accessible to people with disability and compatible with commonly used assistive technologies.</w:t>
      </w:r>
    </w:p>
    <w:p>
      <w:r>
        <w:t>Our intended baseline is to work toward WCAG 2.2 Level AA where reasonably practicable for public website content and core user journeys. This is an operational target, not a representation that every legacy page, third-party embed, prototype or document currently conforms.</w:t>
      </w:r>
    </w:p>
    <w:p>
      <w:r>
        <w:t>We seek to provide semantic headings, keyboard navigation, visible focus, sufficient contrast, text alternatives, labelled forms, resizable text, captions or transcripts where appropriate, understandable errors and accessible documents.</w:t>
      </w:r>
    </w:p>
    <w:p>
      <w:r>
        <w:t>Third-party services may have separate accessibility limitations. Where a user cannot access content or complete a process, contact legal@enterprisecorporated.com and describe the page, device, browser, assistive technology and preferred accessible format. We will consider reasonable alternatives and remediation.</w:t>
      </w:r>
    </w:p>
    <w:p>
      <w:r>
        <w:t>Accessibility feedback will not affect a person's service rights or treatment.</w:t>
      </w:r>
    </w:p>
    <w:p>
      <w:r>
        <w:br w:type="page"/>
      </w:r>
    </w:p>
    <w:p>
      <w:pPr>
        <w:pStyle w:val="Heading1"/>
      </w:pPr>
      <w:r>
        <w:t>EMAIL LEGAL NOTICES</w:t>
      </w:r>
    </w:p>
    <w:p>
      <w:pPr>
        <w:pStyle w:val="Heading2"/>
      </w:pPr>
      <w:r>
        <w:t>A. Standard external email footer</w:t>
      </w:r>
    </w:p>
    <w:p>
      <w:r>
        <w:t>CONFIDENTIALITY AND LEGAL NOTICE: This email and any attachment are intended only for the named recipient and may contain confidential, legally privileged, commercially sensitive or intellectual-property-sensitive information. If you received it in error, notify the sender, do not use or disclose it, and delete all copies. Inadvertent transmission is not intended to waive privilege or confidentiality. No licence, assignment, waiver, partnership, professional retainer or binding agreement arises from this email unless expressly stated in a written instrument signed by Michael Phillip Peters or another duly authorised signatory. Technical, patent, security, cryptographic, valuation and AI-assisted content requires independent verification and human approval. Email transmission cannot be guaranteed secure or error-free; recipients should use appropriate security checks. Personal information is handled under the Enterprise Corporated Privacy Policy. Legal notices: legal@enterprisecorporated.com.</w:t>
      </w:r>
    </w:p>
    <w:p>
      <w:pPr>
        <w:pStyle w:val="Heading2"/>
      </w:pPr>
      <w:r>
        <w:t>B. Compact mobile email footer</w:t>
      </w:r>
    </w:p>
    <w:p>
      <w:r>
        <w:t>This message may be confidential or legally privileged. If received in error, notify the sender and delete it. No IP licence or binding agreement arises unless expressly signed by an authorised signatory. Verify technical and AI-assisted content independently. Privacy and legal contact: legal@enterprisecorporated.com.</w:t>
      </w:r>
    </w:p>
    <w:p>
      <w:pPr>
        <w:pStyle w:val="Heading2"/>
      </w:pPr>
      <w:r>
        <w:t>C. Confidential invention or evaluation email footer</w:t>
      </w:r>
    </w:p>
    <w:p>
      <w:r>
        <w:t>CONFIDENTIAL IP AND EVALUATION NOTICE: This message may contain unpublished inventions, patent material, source material, security architecture, evidence records or trade secrets disclosed solely for the authorised evaluation purpose and subject to any applicable NDA. Do not publish, copy, reverse engineer, file intellectual-property rights from, train a model on, disclose or use the material outside that purpose. No licence or ownership transfer is granted. If no NDA or authorised secure channel is in place, stop review and contact legal@enterprisecorporated.com before handling sensitive attachments.</w:t>
      </w:r>
    </w:p>
    <w:p>
      <w:pPr>
        <w:pStyle w:val="Heading2"/>
      </w:pPr>
      <w:r>
        <w:t>D. AI-assisted drafting notice</w:t>
      </w:r>
    </w:p>
    <w:p>
      <w:r>
        <w:t>This communication may include AI-assisted drafting or analysis. It has not necessarily been independently verified for every factual, legal, technical or citation issue. Human approval is required before reliance, filing, publication, production deployment or material decision-making.</w:t>
      </w:r>
    </w:p>
    <w:p>
      <w:pPr>
        <w:pStyle w:val="Heading2"/>
      </w:pPr>
      <w:r>
        <w:t>E. Service and invoice email notice</w:t>
      </w:r>
    </w:p>
    <w:p>
      <w:r>
        <w:t>Service, invoice and account messages are operational communications. Marketing content, where included, will be clearly identified and accompanied by any unsubscribe method required by law. A receipt acknowledgement does not constitute acceptance of disputed terms, service completion or legal notice unless expressly confirmed.</w:t>
      </w:r>
    </w:p>
    <w:p>
      <w:r>
        <w:br w:type="page"/>
      </w:r>
    </w:p>
    <w:p>
      <w:pPr>
        <w:pStyle w:val="Heading1"/>
      </w:pPr>
      <w:r>
        <w:t>WEBSITE FOOTER, COLLECTION NOTICES AND LINK ARCHITECTURE</w:t>
      </w:r>
    </w:p>
    <w:p>
      <w:pPr>
        <w:pStyle w:val="Heading2"/>
      </w:pPr>
      <w:r>
        <w:t>1. Recommended legal links</w:t>
      </w:r>
    </w:p>
    <w:p>
      <w:r>
        <w:t>Publish persistent footer links on every covered domain:</w:t>
      </w:r>
    </w:p>
    <w:p>
      <w:pPr>
        <w:pStyle w:val="ListBullet"/>
      </w:pPr>
      <w:r>
        <w:t>Legal Centre: /legal</w:t>
      </w:r>
    </w:p>
    <w:p>
      <w:pPr>
        <w:pStyle w:val="ListBullet"/>
      </w:pPr>
      <w:r>
        <w:t>Terms and Conditions: /legal/terms</w:t>
      </w:r>
    </w:p>
    <w:p>
      <w:pPr>
        <w:pStyle w:val="ListBullet"/>
      </w:pPr>
      <w:r>
        <w:t>Privacy Policy: /legal/privacy</w:t>
      </w:r>
    </w:p>
    <w:p>
      <w:pPr>
        <w:pStyle w:val="ListBullet"/>
      </w:pPr>
      <w:r>
        <w:t>Cookie Statement: /legal/cookies</w:t>
      </w:r>
    </w:p>
    <w:p>
      <w:pPr>
        <w:pStyle w:val="ListBullet"/>
      </w:pPr>
      <w:r>
        <w:t>Privacy and Cookie Settings: interactive consent control</w:t>
      </w:r>
    </w:p>
    <w:p>
      <w:pPr>
        <w:pStyle w:val="ListBullet"/>
      </w:pPr>
      <w:r>
        <w:t>AI and Automated Systems Notice: /legal/ai-notice</w:t>
      </w:r>
    </w:p>
    <w:p>
      <w:pPr>
        <w:pStyle w:val="ListBullet"/>
      </w:pPr>
      <w:r>
        <w:t>Acceptable Use Policy: /legal/acceptable-use</w:t>
      </w:r>
    </w:p>
    <w:p>
      <w:pPr>
        <w:pStyle w:val="ListBullet"/>
      </w:pPr>
      <w:r>
        <w:t>Intellectual Property Notice: /legal/intellectual-property</w:t>
      </w:r>
    </w:p>
    <w:p>
      <w:pPr>
        <w:pStyle w:val="ListBullet"/>
      </w:pPr>
      <w:r>
        <w:t>Security Disclosure: /legal/security</w:t>
      </w:r>
    </w:p>
    <w:p>
      <w:pPr>
        <w:pStyle w:val="ListBullet"/>
      </w:pPr>
      <w:r>
        <w:t>Accessibility: /legal/accessibility</w:t>
      </w:r>
    </w:p>
    <w:p>
      <w:pPr>
        <w:pStyle w:val="ListBullet"/>
      </w:pPr>
      <w:r>
        <w:t>Enterprise Evaluation and Licensing Terms: /legal/enterprise-terms</w:t>
      </w:r>
    </w:p>
    <w:p>
      <w:pPr>
        <w:pStyle w:val="ListBullet"/>
      </w:pPr>
      <w:r>
        <w:t>Global Privacy Addendum: /legal/global-privacy</w:t>
      </w:r>
    </w:p>
    <w:p>
      <w:pPr>
        <w:pStyle w:val="ListBullet"/>
      </w:pPr>
      <w:r>
        <w:t>Legal Contact: mailto:legal@enterprisecorporated.com</w:t>
      </w:r>
    </w:p>
    <w:p>
      <w:pPr>
        <w:pStyle w:val="Heading2"/>
      </w:pPr>
      <w:r>
        <w:t>2. Compact footer</w:t>
      </w:r>
    </w:p>
    <w:p>
      <w:r>
        <w:t>Copyright 2026 Michael Phillip Peters ABN 26 569 038 118 trading as Enterprise Corporated. All rights reserved. Enterprise Corporated and associated system and service names are proprietary identifiers. Terms | Privacy | Cookies | AI Notice | Acceptable Use | IP Notice | Security | Accessibility | Legal Contact</w:t>
      </w:r>
    </w:p>
    <w:p>
      <w:pPr>
        <w:pStyle w:val="Heading2"/>
      </w:pPr>
      <w:r>
        <w:t>3. Expanded footer legal notice</w:t>
      </w:r>
    </w:p>
    <w:p>
      <w:r>
        <w:t>Operated by Michael Phillip Peters ABN 26 569 038 118 trading as Enterprise Corporated, New South Wales, Australia. All rights reserved. No licence to intellectual property, inventions, software, confidential information or evidence systems is granted by access or disclosure. Website information is general only and is not legal, patent, investment, financial, security or other professional advice. AI and technical output requires independent human verification. Mandatory consumer rights are not excluded.</w:t>
      </w:r>
    </w:p>
    <w:p>
      <w:pPr>
        <w:pStyle w:val="Heading2"/>
      </w:pPr>
      <w:r>
        <w:t>4. Contact-form collection notice</w:t>
      </w:r>
    </w:p>
    <w:p>
      <w:r>
        <w:t>We collect the information in this form to identify you, respond to your enquiry, assess the requested service and maintain appropriate business, security and legal records. We may disclose it to service providers and advisers involved in operating the site and responding to the enquiry, including providers that process information outside Australia as described in our Privacy Policy. Do not submit private keys, passwords, privileged files, sensitive personal information or unpublished enabling patent material through this form. Required fields are marked. If you do not provide required information, we may be unable to respond. Privacy requests: legal@enterprisecorporated.com. [ ] I have read the Privacy Policy. [Separate unticked box] I agree to receive optional marketing communications and may unsubscribe at any time.</w:t>
      </w:r>
    </w:p>
    <w:p>
      <w:pPr>
        <w:pStyle w:val="Heading2"/>
      </w:pPr>
      <w:r>
        <w:t>5. AI interface collection notice</w:t>
      </w:r>
    </w:p>
    <w:p>
      <w:r>
        <w:t>Your prompt and related technical data may be processed to provide, secure and audit the AI service. Output may be inaccurate and requires human review. Do not enter private keys, credentials, sensitive personal information, privileged legal material or confidential inventions unless this interface is expressly approved for that data. See the Privacy Policy and AI Notice. [ ] I understand the data and AI conditions for this session.</w:t>
      </w:r>
    </w:p>
    <w:p>
      <w:pPr>
        <w:pStyle w:val="Heading2"/>
      </w:pPr>
      <w:r>
        <w:t>6. Account registration notice</w:t>
      </w:r>
    </w:p>
    <w:p>
      <w:r>
        <w:t>We collect registration, authentication and device information to create and protect your Account, administer access and provide the requested service. Required information is necessary to establish the Account. Security logs may be retained to prevent abuse and investigate incidents. See the Privacy Policy.</w:t>
      </w:r>
    </w:p>
    <w:p>
      <w:pPr>
        <w:pStyle w:val="Heading2"/>
      </w:pPr>
      <w:r>
        <w:t>7. Newsletter consent</w:t>
      </w:r>
    </w:p>
    <w:p>
      <w:r>
        <w:t>[Unticked box] Send me Enterprise Corporated news, service updates and lawful marketing by email. I understand this is optional and I can unsubscribe at any time. See the Privacy Policy.</w:t>
      </w:r>
    </w:p>
    <w:p>
      <w:r>
        <w:t>Do not bundle newsletter consent with acceptance of Terms or make it a condition of an unrelated service.</w:t>
      </w:r>
    </w:p>
    <w:p>
      <w:pPr>
        <w:pStyle w:val="Heading2"/>
      </w:pPr>
      <w:r>
        <w:t>8. Checkout acknowledgement</w:t>
      </w:r>
    </w:p>
    <w:p>
      <w:r>
        <w:t>By placing the order, you agree to the Terms and the service-specific order details, including price, billing period and any clearly disclosed renewal terms. Your statutory consumer rights remain unaffected. Personal information is handled under the Privacy Policy.</w:t>
      </w:r>
    </w:p>
    <w:p>
      <w:pPr>
        <w:pStyle w:val="Heading2"/>
      </w:pPr>
      <w:r>
        <w:t>9. Download notice</w:t>
      </w:r>
    </w:p>
    <w:p>
      <w:r>
        <w:t>This download is provided under the Terms and any licence displayed with the file. Verify hashes or signatures where provided. Scan and test files in a controlled environment. No source, patent, security or production licence is granted unless expressly stated.</w:t>
      </w:r>
    </w:p>
    <w:p>
      <w:pPr>
        <w:pStyle w:val="Heading2"/>
      </w:pPr>
      <w:r>
        <w:t>10. Patent and technology page notice</w:t>
      </w:r>
    </w:p>
    <w:p>
      <w:r>
        <w:t>Technology descriptions may concern patent applications, confidential embodiments, prototypes or research. Publication does not grant a licence or guarantee patent validity, freedom to operate, certification, security or commercial performance. Public summaries may omit enabling detail.</w:t>
      </w:r>
    </w:p>
    <w:p>
      <w:pPr>
        <w:pStyle w:val="Heading2"/>
      </w:pPr>
      <w:r>
        <w:t>11. Cookie settings link text</w:t>
      </w:r>
    </w:p>
    <w:p>
      <w:r>
        <w:t>Privacy and cookie settings</w:t>
      </w:r>
    </w:p>
    <w:p>
      <w:pPr>
        <w:pStyle w:val="Heading2"/>
      </w:pPr>
      <w:r>
        <w:t>12. Legal operator display rule</w:t>
      </w:r>
    </w:p>
    <w:p>
      <w:r>
        <w:t>Use the legal operator in the footer and legal pages as:</w:t>
      </w:r>
    </w:p>
    <w:p>
      <w:r>
        <w:t>Michael Phillip Peters ABN 26 569 038 118 trading as Enterprise Corporated</w:t>
      </w:r>
    </w:p>
    <w:p>
      <w:r>
        <w:t>Do not use Enterprise Corporated Pty Ltd, Inc., Corporation or a separate-company description unless verified registration supports it.</w:t>
      </w:r>
    </w:p>
    <w:p>
      <w:r>
        <w:br w:type="page"/>
      </w:r>
    </w:p>
    <w:p>
      <w:pPr>
        <w:pStyle w:val="Heading1"/>
      </w:pPr>
      <w:r>
        <w:t>GLOBAL PRIVACY ADDENDUM</w:t>
      </w:r>
    </w:p>
    <w:p>
      <w:r>
        <w:t>Effective date: 29 July 2026</w:t>
      </w:r>
    </w:p>
    <w:p>
      <w:pPr>
        <w:pStyle w:val="Heading2"/>
      </w:pPr>
      <w:r>
        <w:t>1. Conditional application</w:t>
      </w:r>
    </w:p>
    <w:p>
      <w:r>
        <w:t>This addendum applies only where a foreign privacy law applies to our processing because of establishment, targeting, monitoring, statutory thresholds or another jurisdictional rule. Website accessibility from a country does not by itself mean every law of that country applies.</w:t>
      </w:r>
    </w:p>
    <w:p>
      <w:pPr>
        <w:pStyle w:val="Heading2"/>
      </w:pPr>
      <w:r>
        <w:t>2. European Economic Area</w:t>
      </w:r>
    </w:p>
    <w:p>
      <w:r>
        <w:t>Where the EU General Data Protection Regulation applies, Enterprise Corporated will identify the controller, purposes, categories, recipients, retention and applicable lawful basis. Lawful bases may include performance of a contract, legitimate interests, compliance with law, protection of vital interests and consent.</w:t>
      </w:r>
    </w:p>
    <w:p>
      <w:r>
        <w:t>Individuals may have rights of access, correction, erasure, restriction, objection, portability, withdrawal of consent and complaint to a supervisory authority. Rights are subject to legal conditions and exceptions.</w:t>
      </w:r>
    </w:p>
    <w:p>
      <w:r>
        <w:t>Where data is transferred outside the EEA, an approved transfer mechanism and supplementary safeguards will be used where required. Before intentionally offering services to EEA individuals or monitoring their behaviour, representative, transfer, cookie and record-keeping requirements must be assessed.</w:t>
      </w:r>
    </w:p>
    <w:p>
      <w:pPr>
        <w:pStyle w:val="Heading2"/>
      </w:pPr>
      <w:r>
        <w:t>3. United Kingdom</w:t>
      </w:r>
    </w:p>
    <w:p>
      <w:r>
        <w:t>Where UK data-protection law applies, equivalent controller, lawful-basis, rights, transfer and complaint information will be provided. UK rules concerning cookies and similar storage or access technologies will be applied, including consent or applicable exceptions.</w:t>
      </w:r>
    </w:p>
    <w:p>
      <w:pPr>
        <w:pStyle w:val="Heading2"/>
      </w:pPr>
      <w:r>
        <w:t>4. California</w:t>
      </w:r>
    </w:p>
    <w:p>
      <w:r>
        <w:t>Where the California Consumer Privacy Act applies because statutory thresholds and jurisdictional conditions are met, California consumers may have rights to know, access, correct and delete personal information; opt out of sale or sharing; limit certain uses of sensitive personal information; and receive non-discriminatory treatment.</w:t>
      </w:r>
    </w:p>
    <w:p>
      <w:r>
        <w:t>We do not sell personal information for money. If our practices amount to sale or sharing as defined by applicable California law, we will provide the required notices, preference-signal handling and opt-out method.</w:t>
      </w:r>
    </w:p>
    <w:p>
      <w:r>
        <w:t>A California-specific Notice at Collection and request methods will be added before the law applies to covered activity. This addendum does not represent that Enterprise Corporated currently meets the statutory definition of a covered business.</w:t>
      </w:r>
    </w:p>
    <w:p>
      <w:pPr>
        <w:pStyle w:val="Heading2"/>
      </w:pPr>
      <w:r>
        <w:t>5. Other jurisdictions</w:t>
      </w:r>
    </w:p>
    <w:p>
      <w:r>
        <w:t>Additional local notices may be required before actively targeting, establishing operations in or materially monitoring individuals in another jurisdiction. We may limit access where compliance, export, sanctions, tax, consumer, professional or privacy requirements have not been established.</w:t>
      </w:r>
    </w:p>
    <w:p>
      <w:pPr>
        <w:pStyle w:val="Heading2"/>
      </w:pPr>
      <w:r>
        <w:t>6. Requests</w:t>
      </w:r>
    </w:p>
    <w:p>
      <w:r>
        <w:t>International privacy requests may be sent to legal@enterprisecorporated.com. Specify your country or region and the right requested. Identity and authority verification may be required.</w:t>
      </w:r>
    </w:p>
    <w:p>
      <w:r>
        <w:br w:type="page"/>
      </w:r>
    </w:p>
    <w:p>
      <w:pPr>
        <w:pStyle w:val="Heading1"/>
      </w:pPr>
      <w:r>
        <w:t>IMPLEMENTATION, DATA-MAP AND PUBLICATION CHECKLIST</w:t>
      </w:r>
    </w:p>
    <w:p>
      <w:r>
        <w:t>This checklist is a mandatory operational companion to the legal text. Mark each item PASS, FAIL, NOT APPLICABLE or TO BE VERIFIED and retain evidence.</w:t>
      </w:r>
    </w:p>
    <w:p>
      <w:pPr>
        <w:pStyle w:val="Heading2"/>
      </w:pPr>
      <w:r>
        <w:t>A. Legal identity</w:t>
      </w:r>
    </w:p>
    <w:p>
      <w:pPr>
        <w:pStyle w:val="ListBullet"/>
      </w:pPr>
      <w:r>
        <w:t>Confirm ABN 26 569 038 118 remains active and recorded to Michael Phillip Peters.</w:t>
      </w:r>
    </w:p>
    <w:p>
      <w:pPr>
        <w:pStyle w:val="ListBullet"/>
      </w:pPr>
      <w:r>
        <w:t>Confirm whether Enterprise Corporated is a registered business name and record the ASIC registration details.</w:t>
      </w:r>
    </w:p>
    <w:p>
      <w:pPr>
        <w:pStyle w:val="ListBullet"/>
      </w:pPr>
      <w:r>
        <w:t>Do not describe the operator as a company unless a company is registered and the ACN is displayed where required.</w:t>
      </w:r>
    </w:p>
    <w:p>
      <w:pPr>
        <w:pStyle w:val="ListBullet"/>
      </w:pPr>
      <w:r>
        <w:t>Insert a serviceable postal address in the Privacy Policy and formal notices.</w:t>
      </w:r>
    </w:p>
    <w:p>
      <w:pPr>
        <w:pStyle w:val="ListBullet"/>
      </w:pPr>
      <w:r>
        <w:t>Confirm the legal email mailbox is active, monitored, secured with multi-factor authentication and archived.</w:t>
      </w:r>
    </w:p>
    <w:p>
      <w:pPr>
        <w:pStyle w:val="Heading2"/>
      </w:pPr>
      <w:r>
        <w:t>B. Domain ownership and coverage</w:t>
      </w:r>
    </w:p>
    <w:p>
      <w:pPr>
        <w:pStyle w:val="ListBullet"/>
      </w:pPr>
      <w:r>
        <w:t>Verify control of each covered domain and registrar account.</w:t>
      </w:r>
    </w:p>
    <w:p>
      <w:pPr>
        <w:pStyle w:val="ListBullet"/>
      </w:pPr>
      <w:r>
        <w:t>Remove any incomplete or unauthorised domain from the legal pages.</w:t>
      </w:r>
    </w:p>
    <w:p>
      <w:pPr>
        <w:pStyle w:val="ListBullet"/>
      </w:pPr>
      <w:r>
        <w:t>Confirm all production subdomains, customer portals, APIs and applications that use the umbrella terms.</w:t>
      </w:r>
    </w:p>
    <w:p>
      <w:pPr>
        <w:pStyle w:val="ListBullet"/>
      </w:pPr>
      <w:r>
        <w:t>Ensure each domain links to the same current policy version or a clearly identified local variant.</w:t>
      </w:r>
    </w:p>
    <w:p>
      <w:pPr>
        <w:pStyle w:val="Heading2"/>
      </w:pPr>
      <w:r>
        <w:t>C. Data inventory</w:t>
      </w:r>
    </w:p>
    <w:p>
      <w:r>
        <w:t>For every collection point, document:</w:t>
      </w:r>
    </w:p>
    <w:p>
      <w:pPr>
        <w:pStyle w:val="ListBullet"/>
      </w:pPr>
      <w:r>
        <w:t>page, form, API or feature;</w:t>
      </w:r>
    </w:p>
    <w:p>
      <w:pPr>
        <w:pStyle w:val="ListBullet"/>
      </w:pPr>
      <w:r>
        <w:t>data fields and whether required;</w:t>
      </w:r>
    </w:p>
    <w:p>
      <w:pPr>
        <w:pStyle w:val="ListBullet"/>
      </w:pPr>
      <w:r>
        <w:t>purpose and legal basis;</w:t>
      </w:r>
    </w:p>
    <w:p>
      <w:pPr>
        <w:pStyle w:val="ListBullet"/>
      </w:pPr>
      <w:r>
        <w:t>system and database;</w:t>
      </w:r>
    </w:p>
    <w:p>
      <w:pPr>
        <w:pStyle w:val="ListBullet"/>
      </w:pPr>
      <w:r>
        <w:t>internal access roles;</w:t>
      </w:r>
    </w:p>
    <w:p>
      <w:pPr>
        <w:pStyle w:val="ListBullet"/>
      </w:pPr>
      <w:r>
        <w:t>external provider and subprocessors;</w:t>
      </w:r>
    </w:p>
    <w:p>
      <w:pPr>
        <w:pStyle w:val="ListBullet"/>
      </w:pPr>
      <w:r>
        <w:t>countries or regions;</w:t>
      </w:r>
    </w:p>
    <w:p>
      <w:pPr>
        <w:pStyle w:val="ListBullet"/>
      </w:pPr>
      <w:r>
        <w:t>retention and deletion method;</w:t>
      </w:r>
    </w:p>
    <w:p>
      <w:pPr>
        <w:pStyle w:val="ListBullet"/>
      </w:pPr>
      <w:r>
        <w:t>security classification;</w:t>
      </w:r>
    </w:p>
    <w:p>
      <w:pPr>
        <w:pStyle w:val="ListBullet"/>
      </w:pPr>
      <w:r>
        <w:t>marketing use;</w:t>
      </w:r>
    </w:p>
    <w:p>
      <w:pPr>
        <w:pStyle w:val="ListBullet"/>
      </w:pPr>
      <w:r>
        <w:t>AI use and training setting;</w:t>
      </w:r>
    </w:p>
    <w:p>
      <w:pPr>
        <w:pStyle w:val="ListBullet"/>
      </w:pPr>
      <w:r>
        <w:t>automated decision function;</w:t>
      </w:r>
    </w:p>
    <w:p>
      <w:pPr>
        <w:pStyle w:val="ListBullet"/>
      </w:pPr>
      <w:r>
        <w:t>rights request search method; and</w:t>
      </w:r>
    </w:p>
    <w:p>
      <w:pPr>
        <w:pStyle w:val="ListBullet"/>
      </w:pPr>
      <w:r>
        <w:t>applicable contract or collection notice.</w:t>
      </w:r>
    </w:p>
    <w:p>
      <w:pPr>
        <w:pStyle w:val="Heading2"/>
      </w:pPr>
      <w:r>
        <w:t>D. Provider register</w:t>
      </w:r>
    </w:p>
    <w:p>
      <w:r>
        <w:t>Complete an approved register for hosting, CDN, DNS, website builder, AI models, analytics, cookie consent, email, CRM, payment, support, repository, monitoring, backups and professional advisers. Record contracts, data-processing terms, locations, security, breach notice, deletion and subcontracting.</w:t>
      </w:r>
    </w:p>
    <w:p>
      <w:pPr>
        <w:pStyle w:val="Heading2"/>
      </w:pPr>
      <w:r>
        <w:t>E. Cookie and script audit</w:t>
      </w:r>
    </w:p>
    <w:p>
      <w:pPr>
        <w:pStyle w:val="ListBullet"/>
      </w:pPr>
      <w:r>
        <w:t>Scan each domain before and after consent.</w:t>
      </w:r>
    </w:p>
    <w:p>
      <w:pPr>
        <w:pStyle w:val="ListBullet"/>
      </w:pPr>
      <w:r>
        <w:t>Test public, logged-in, checkout, media and AI pages.</w:t>
      </w:r>
    </w:p>
    <w:p>
      <w:pPr>
        <w:pStyle w:val="ListBullet"/>
      </w:pPr>
      <w:r>
        <w:t>Block non-essential technologies until consent where required.</w:t>
      </w:r>
    </w:p>
    <w:p>
      <w:pPr>
        <w:pStyle w:val="ListBullet"/>
      </w:pPr>
      <w:r>
        <w:t>Provide Accept all, Reject non-essential and Manage choices with equivalent prominence.</w:t>
      </w:r>
    </w:p>
    <w:p>
      <w:pPr>
        <w:pStyle w:val="ListBullet"/>
      </w:pPr>
      <w:r>
        <w:t>Publish the exact cookie inventory.</w:t>
      </w:r>
    </w:p>
    <w:p>
      <w:pPr>
        <w:pStyle w:val="ListBullet"/>
      </w:pPr>
      <w:r>
        <w:t>Retain consent records without excessive personal data.</w:t>
      </w:r>
    </w:p>
    <w:p>
      <w:pPr>
        <w:pStyle w:val="ListBullet"/>
      </w:pPr>
      <w:r>
        <w:t>Test withdrawal and browser privacy signals.</w:t>
      </w:r>
    </w:p>
    <w:p>
      <w:pPr>
        <w:pStyle w:val="Heading2"/>
      </w:pPr>
      <w:r>
        <w:t>F. AI governance</w:t>
      </w:r>
    </w:p>
    <w:p>
      <w:pPr>
        <w:pStyle w:val="ListBullet"/>
      </w:pPr>
      <w:r>
        <w:t>Identify every model and provider.</w:t>
      </w:r>
    </w:p>
    <w:p>
      <w:pPr>
        <w:pStyle w:val="ListBullet"/>
      </w:pPr>
      <w:r>
        <w:t>Record region, retention, model-training use, logging and deletion.</w:t>
      </w:r>
    </w:p>
    <w:p>
      <w:pPr>
        <w:pStyle w:val="ListBullet"/>
      </w:pPr>
      <w:r>
        <w:t>Prevent private keys and restricted data from public interfaces.</w:t>
      </w:r>
    </w:p>
    <w:p>
      <w:pPr>
        <w:pStyle w:val="ListBullet"/>
      </w:pPr>
      <w:r>
        <w:t>Implement human review and release approval for material outputs.</w:t>
      </w:r>
    </w:p>
    <w:p>
      <w:pPr>
        <w:pStyle w:val="ListBullet"/>
      </w:pPr>
      <w:r>
        <w:t>Document automated decisions and prepare for Australian privacy-policy obligations commencing 10 December 2026.</w:t>
      </w:r>
    </w:p>
    <w:p>
      <w:pPr>
        <w:pStyle w:val="ListBullet"/>
      </w:pPr>
      <w:r>
        <w:t>Test hallucination, prompt injection, data leakage, abuse, bias, IP risk and unsafe output.</w:t>
      </w:r>
    </w:p>
    <w:p>
      <w:pPr>
        <w:pStyle w:val="ListBullet"/>
      </w:pPr>
      <w:r>
        <w:t>Label prototypes and non-production services accurately.</w:t>
      </w:r>
    </w:p>
    <w:p>
      <w:pPr>
        <w:pStyle w:val="Heading2"/>
      </w:pPr>
      <w:r>
        <w:t>G. Security and claims</w:t>
      </w:r>
    </w:p>
    <w:p>
      <w:pPr>
        <w:pStyle w:val="ListBullet"/>
      </w:pPr>
      <w:r>
        <w:t>Verify TLS, certificates, DNS, email authentication, access control, MFA, backups, logging, patching, secrets management and incident response.</w:t>
      </w:r>
    </w:p>
    <w:p>
      <w:pPr>
        <w:pStyle w:val="ListBullet"/>
      </w:pPr>
      <w:r>
        <w:t>Do not claim post-quantum protection unless the deployed algorithm, certificate, endpoint, protocol and test evidence support it.</w:t>
      </w:r>
    </w:p>
    <w:p>
      <w:pPr>
        <w:pStyle w:val="ListBullet"/>
      </w:pPr>
      <w:r>
        <w:t>Distinguish Ed25519 compatibility signatures from post-quantum signatures.</w:t>
      </w:r>
    </w:p>
    <w:p>
      <w:pPr>
        <w:pStyle w:val="ListBullet"/>
      </w:pPr>
      <w:r>
        <w:t>Do not publish private keys, credentials, recovery codes or unrestricted confidential masters.</w:t>
      </w:r>
    </w:p>
    <w:p>
      <w:pPr>
        <w:pStyle w:val="ListBullet"/>
      </w:pPr>
      <w:r>
        <w:t>Establish a responsible-disclosure scope before inviting testing.</w:t>
      </w:r>
    </w:p>
    <w:p>
      <w:pPr>
        <w:pStyle w:val="ListBullet"/>
      </w:pPr>
      <w:r>
        <w:t>Maintain a data-breach assessment and notification procedure.</w:t>
      </w:r>
    </w:p>
    <w:p>
      <w:pPr>
        <w:pStyle w:val="Heading2"/>
      </w:pPr>
      <w:r>
        <w:t>H. Consumer and commercial compliance</w:t>
      </w:r>
    </w:p>
    <w:p>
      <w:pPr>
        <w:pStyle w:val="ListBullet"/>
      </w:pPr>
      <w:r>
        <w:t>Display total price, currency, GST treatment, subscription period and renewal before purchase.</w:t>
      </w:r>
    </w:p>
    <w:p>
      <w:pPr>
        <w:pStyle w:val="ListBullet"/>
      </w:pPr>
      <w:r>
        <w:t>Do not use preselected paid options or hidden charges.</w:t>
      </w:r>
    </w:p>
    <w:p>
      <w:pPr>
        <w:pStyle w:val="ListBullet"/>
      </w:pPr>
      <w:r>
        <w:t>Provide cancellation and refund processes consistent with Australian Consumer Law.</w:t>
      </w:r>
    </w:p>
    <w:p>
      <w:pPr>
        <w:pStyle w:val="ListBullet"/>
      </w:pPr>
      <w:r>
        <w:t>Review standard-form consumer and small-business terms for unfair terms.</w:t>
      </w:r>
    </w:p>
    <w:p>
      <w:pPr>
        <w:pStyle w:val="ListBullet"/>
      </w:pPr>
      <w:r>
        <w:t>Separate optional marketing consent from service acceptance.</w:t>
      </w:r>
    </w:p>
    <w:p>
      <w:pPr>
        <w:pStyle w:val="ListBullet"/>
      </w:pPr>
      <w:r>
        <w:t>Honour unsubscribe requests within 5 working days for Australian commercial electronic messages.</w:t>
      </w:r>
    </w:p>
    <w:p>
      <w:pPr>
        <w:pStyle w:val="Heading2"/>
      </w:pPr>
      <w:r>
        <w:t>I. Intellectual property and confidentiality</w:t>
      </w:r>
    </w:p>
    <w:p>
      <w:pPr>
        <w:pStyle w:val="ListBullet"/>
      </w:pPr>
      <w:r>
        <w:t>Verify trade mark registration status before using the registered symbol.</w:t>
      </w:r>
    </w:p>
    <w:p>
      <w:pPr>
        <w:pStyle w:val="ListBullet"/>
      </w:pPr>
      <w:r>
        <w:t>Maintain copyright and rights notices.</w:t>
      </w:r>
    </w:p>
    <w:p>
      <w:pPr>
        <w:pStyle w:val="ListBullet"/>
      </w:pPr>
      <w:r>
        <w:t>Link protected downloads to applicable licence terms.</w:t>
      </w:r>
    </w:p>
    <w:p>
      <w:pPr>
        <w:pStyle w:val="ListBullet"/>
      </w:pPr>
      <w:r>
        <w:t>Use NDA and secure transfer before confidential invention disclosure.</w:t>
      </w:r>
    </w:p>
    <w:p>
      <w:pPr>
        <w:pStyle w:val="ListBullet"/>
      </w:pPr>
      <w:r>
        <w:t>Ensure public pages do not unintentionally disclose enabling patent material.</w:t>
      </w:r>
    </w:p>
    <w:p>
      <w:pPr>
        <w:pStyle w:val="ListBullet"/>
      </w:pPr>
      <w:r>
        <w:t>Verify patent status statements against current official records.</w:t>
      </w:r>
    </w:p>
    <w:p>
      <w:pPr>
        <w:pStyle w:val="ListBullet"/>
      </w:pPr>
      <w:r>
        <w:t>Do not imply that hashes or timestamps establish patent validity or legal inventorship.</w:t>
      </w:r>
    </w:p>
    <w:p>
      <w:pPr>
        <w:pStyle w:val="Heading2"/>
      </w:pPr>
      <w:r>
        <w:t>J. Online safety and content</w:t>
      </w:r>
    </w:p>
    <w:p>
      <w:pPr>
        <w:pStyle w:val="ListBullet"/>
      </w:pPr>
      <w:r>
        <w:t>Determine whether any service hosts user content, chat, social interaction, generative AI or age-restricted content.</w:t>
      </w:r>
    </w:p>
    <w:p>
      <w:pPr>
        <w:pStyle w:val="ListBullet"/>
      </w:pPr>
      <w:r>
        <w:t>Assess Online Safety Act, codes and standards before launch.</w:t>
      </w:r>
    </w:p>
    <w:p>
      <w:pPr>
        <w:pStyle w:val="ListBullet"/>
      </w:pPr>
      <w:r>
        <w:t>Provide reporting, moderation, blocking, escalation and records proportionate to the service.</w:t>
      </w:r>
    </w:p>
    <w:p>
      <w:pPr>
        <w:pStyle w:val="ListBullet"/>
      </w:pPr>
      <w:r>
        <w:t>Complete child-safety assessment for services likely to be accessed by children.</w:t>
      </w:r>
    </w:p>
    <w:p>
      <w:pPr>
        <w:pStyle w:val="Heading2"/>
      </w:pPr>
      <w:r>
        <w:t>K. Accessibility</w:t>
      </w:r>
    </w:p>
    <w:p>
      <w:pPr>
        <w:pStyle w:val="ListBullet"/>
      </w:pPr>
      <w:r>
        <w:t>Test keyboard navigation, focus, headings, forms, contrast, zoom, screen readers, error messages and downloadable documents.</w:t>
      </w:r>
    </w:p>
    <w:p>
      <w:pPr>
        <w:pStyle w:val="ListBullet"/>
      </w:pPr>
      <w:r>
        <w:t>Record exceptions and remediation plan.</w:t>
      </w:r>
    </w:p>
    <w:p>
      <w:pPr>
        <w:pStyle w:val="ListBullet"/>
      </w:pPr>
      <w:r>
        <w:t>Provide an accessible contact method.</w:t>
      </w:r>
    </w:p>
    <w:p>
      <w:pPr>
        <w:pStyle w:val="Heading2"/>
      </w:pPr>
      <w:r>
        <w:t>L. Records and change control</w:t>
      </w:r>
    </w:p>
    <w:p>
      <w:pPr>
        <w:pStyle w:val="ListBullet"/>
      </w:pPr>
      <w:r>
        <w:t>Assign policy owner and review date.</w:t>
      </w:r>
    </w:p>
    <w:p>
      <w:pPr>
        <w:pStyle w:val="ListBullet"/>
      </w:pPr>
      <w:r>
        <w:t>Archive every published version with hash and timestamp.</w:t>
      </w:r>
    </w:p>
    <w:p>
      <w:pPr>
        <w:pStyle w:val="ListBullet"/>
      </w:pPr>
      <w:r>
        <w:t>Record legal, provider and technical changes.</w:t>
      </w:r>
    </w:p>
    <w:p>
      <w:pPr>
        <w:pStyle w:val="ListBullet"/>
      </w:pPr>
      <w:r>
        <w:t>Update collection notices and cookie inventory before activating new processing.</w:t>
      </w:r>
    </w:p>
    <w:p>
      <w:pPr>
        <w:pStyle w:val="ListBullet"/>
      </w:pPr>
      <w:r>
        <w:t>Review at least every 6 months and after material legal, provider, AI or service changes.</w:t>
      </w:r>
    </w:p>
    <w:p>
      <w:pPr>
        <w:pStyle w:val="Heading2"/>
      </w:pPr>
      <w:r>
        <w:t>M. Publication approval</w:t>
      </w:r>
    </w:p>
    <w:p>
      <w:r>
        <w:t>Do not publish as FINAL until:</w:t>
      </w:r>
    </w:p>
    <w:p>
      <w:pPr>
        <w:pStyle w:val="ListBullet"/>
      </w:pPr>
      <w:r>
        <w:t>all bracketed fields are completed;</w:t>
      </w:r>
    </w:p>
    <w:p>
      <w:pPr>
        <w:pStyle w:val="ListBullet"/>
      </w:pPr>
      <w:r>
        <w:t>factual statements match implemented systems;</w:t>
      </w:r>
    </w:p>
    <w:p>
      <w:pPr>
        <w:pStyle w:val="ListBullet"/>
      </w:pPr>
      <w:r>
        <w:t>provider and country schedules are complete;</w:t>
      </w:r>
    </w:p>
    <w:p>
      <w:pPr>
        <w:pStyle w:val="ListBullet"/>
      </w:pPr>
      <w:r>
        <w:t>the cookie audit passes;</w:t>
      </w:r>
    </w:p>
    <w:p>
      <w:pPr>
        <w:pStyle w:val="ListBullet"/>
      </w:pPr>
      <w:r>
        <w:t>the business-name and postal-address facts are verified;</w:t>
      </w:r>
    </w:p>
    <w:p>
      <w:pPr>
        <w:pStyle w:val="ListBullet"/>
      </w:pPr>
      <w:r>
        <w:t>security and post-quantum claims are evidenced;</w:t>
      </w:r>
    </w:p>
    <w:p>
      <w:pPr>
        <w:pStyle w:val="ListBullet"/>
      </w:pPr>
      <w:r>
        <w:t>consumer flows are tested;</w:t>
      </w:r>
    </w:p>
    <w:p>
      <w:pPr>
        <w:pStyle w:val="ListBullet"/>
      </w:pPr>
      <w:r>
        <w:t>an Australian solicitor reviews the final public version; and</w:t>
      </w:r>
    </w:p>
    <w:p>
      <w:pPr>
        <w:pStyle w:val="ListBullet"/>
      </w:pPr>
      <w:r>
        <w:t>Michael Phillip Peters gives final human release approval.</w:t>
      </w:r>
    </w:p>
    <w:p>
      <w:r>
        <w:br w:type="page"/>
      </w:r>
    </w:p>
    <w:p>
      <w:pPr>
        <w:pStyle w:val="Heading1"/>
      </w:pPr>
      <w:r>
        <w:t>LEGAL AUTHORITIES AND REVIEW NOTES</w:t>
      </w:r>
    </w:p>
    <w:p>
      <w:r>
        <w:t>Accessed and reviewed for this drafting baseline on 29 July 2026. These links are provided for verification and do not substitute for legal advice.</w:t>
      </w:r>
    </w:p>
    <w:p>
      <w:pPr>
        <w:pStyle w:val="Heading2"/>
      </w:pPr>
      <w:r>
        <w:t>Australian privacy</w:t>
      </w:r>
    </w:p>
    <w:p>
      <w:pPr>
        <w:pStyle w:val="ListBullet"/>
      </w:pPr>
      <w:r>
        <w:t>Privacy Act 1988 (Cth): https://www.legislation.gov.au/Series/C2004A03712</w:t>
      </w:r>
    </w:p>
    <w:p>
      <w:pPr>
        <w:pStyle w:val="ListBullet"/>
      </w:pPr>
      <w:r>
        <w:t>Office of the Australian Information Commissioner - Privacy Act: https://www.oaic.gov.au/privacy/privacy-legislation/the-privacy-act</w:t>
      </w:r>
    </w:p>
    <w:p>
      <w:pPr>
        <w:pStyle w:val="ListBullet"/>
      </w:pPr>
      <w:r>
        <w:t>Australian Privacy Principles: https://www.oaic.gov.au/privacy/australian-privacy-principles</w:t>
      </w:r>
    </w:p>
    <w:p>
      <w:pPr>
        <w:pStyle w:val="ListBullet"/>
      </w:pPr>
      <w:r>
        <w:t>APP Guidelines: https://www.oaic.gov.au/privacy/australian-privacy-principles/australian-privacy-principles-guidelines</w:t>
      </w:r>
    </w:p>
    <w:p>
      <w:pPr>
        <w:pStyle w:val="ListBullet"/>
      </w:pPr>
      <w:r>
        <w:t>Notifiable Data Breaches scheme: https://www.oaic.gov.au/privacy/notifiable-data-breaches/about-the-notifiable-data-breaches-scheme</w:t>
      </w:r>
    </w:p>
    <w:p>
      <w:pPr>
        <w:pStyle w:val="ListBullet"/>
      </w:pPr>
      <w:r>
        <w:t>Statutory tort for serious invasions of privacy: https://www.oaic.gov.au/privacy/your-privacy-rights/more-privacy-rights/statutory-tort-for-serious-invasions-of-privacy</w:t>
      </w:r>
    </w:p>
    <w:p>
      <w:pPr>
        <w:pStyle w:val="ListBullet"/>
      </w:pPr>
      <w:r>
        <w:t>Australian entities and GDPR: https://www.oaic.gov.au/privacy/privacy-guidance-for-organisations-and-government-agencies/more-guidance/australian-entities-and-the-european-union-general-data-protection-regulation</w:t>
      </w:r>
    </w:p>
    <w:p>
      <w:pPr>
        <w:pStyle w:val="Heading2"/>
      </w:pPr>
      <w:r>
        <w:t>Marketing and communications</w:t>
      </w:r>
    </w:p>
    <w:p>
      <w:pPr>
        <w:pStyle w:val="ListBullet"/>
      </w:pPr>
      <w:r>
        <w:t>ACMA - Avoid sending spam: https://www.acma.gov.au/avoid-sending-spam</w:t>
      </w:r>
    </w:p>
    <w:p>
      <w:pPr>
        <w:pStyle w:val="ListBullet"/>
      </w:pPr>
      <w:r>
        <w:t>Spam Act 2003 (Cth): https://www.legislation.gov.au/Series/C2004A01214</w:t>
      </w:r>
    </w:p>
    <w:p>
      <w:pPr>
        <w:pStyle w:val="ListBullet"/>
      </w:pPr>
      <w:r>
        <w:t>Do Not Call Register Act 2006 (Cth): https://www.legislation.gov.au/Series/C2006A00088</w:t>
      </w:r>
    </w:p>
    <w:p>
      <w:pPr>
        <w:pStyle w:val="Heading2"/>
      </w:pPr>
      <w:r>
        <w:t>Consumer and contracts</w:t>
      </w:r>
    </w:p>
    <w:p>
      <w:pPr>
        <w:pStyle w:val="ListBullet"/>
      </w:pPr>
      <w:r>
        <w:t>Competition and Consumer Act 2010 (Cth): https://www.legislation.gov.au/C2004A00109/latest</w:t>
      </w:r>
    </w:p>
    <w:p>
      <w:pPr>
        <w:pStyle w:val="ListBullet"/>
      </w:pPr>
      <w:r>
        <w:t>ACCC - Contracts and unfair contract terms: https://www.accc.gov.au/business/selling-products-and-services/contracts</w:t>
      </w:r>
    </w:p>
    <w:p>
      <w:pPr>
        <w:pStyle w:val="ListBullet"/>
      </w:pPr>
      <w:r>
        <w:t>ACCC - Selling products and services: https://www.accc.gov.au/business/selling-products-and-services</w:t>
      </w:r>
    </w:p>
    <w:p>
      <w:pPr>
        <w:pStyle w:val="ListBullet"/>
      </w:pPr>
      <w:r>
        <w:t>Electronic Transactions Act 1999 (Cth): https://www.legislation.gov.au/Series/C2004A00553</w:t>
      </w:r>
    </w:p>
    <w:p>
      <w:pPr>
        <w:pStyle w:val="Heading2"/>
      </w:pPr>
      <w:r>
        <w:t>Intellectual property</w:t>
      </w:r>
    </w:p>
    <w:p>
      <w:pPr>
        <w:pStyle w:val="ListBullet"/>
      </w:pPr>
      <w:r>
        <w:t>Copyright Act 1968 (Cth): https://www.legislation.gov.au/Series/C1968A00063</w:t>
      </w:r>
    </w:p>
    <w:p>
      <w:pPr>
        <w:pStyle w:val="ListBullet"/>
      </w:pPr>
      <w:r>
        <w:t>Trade Marks Act 1995 (Cth): https://www.legislation.gov.au/Series/C2004A04969</w:t>
      </w:r>
    </w:p>
    <w:p>
      <w:pPr>
        <w:pStyle w:val="ListBullet"/>
      </w:pPr>
      <w:r>
        <w:t>Patents Act 1990 (Cth): https://www.legislation.gov.au/Series/C2004A04014</w:t>
      </w:r>
    </w:p>
    <w:p>
      <w:pPr>
        <w:pStyle w:val="ListBullet"/>
      </w:pPr>
      <w:r>
        <w:t>Designs Act 2003 (Cth): https://www.legislation.gov.au/Series/C2004A01246</w:t>
      </w:r>
    </w:p>
    <w:p>
      <w:pPr>
        <w:pStyle w:val="ListBullet"/>
      </w:pPr>
      <w:r>
        <w:t>IP Australia: https://www.ipaustralia.gov.au/</w:t>
      </w:r>
    </w:p>
    <w:p>
      <w:pPr>
        <w:pStyle w:val="Heading2"/>
      </w:pPr>
      <w:r>
        <w:t>AI and online safety</w:t>
      </w:r>
    </w:p>
    <w:p>
      <w:pPr>
        <w:pStyle w:val="ListBullet"/>
      </w:pPr>
      <w:r>
        <w:t>Australian Government Guidance for AI Adoption: https://www.industry.gov.au/publications/guidance-for-ai-adoption</w:t>
      </w:r>
    </w:p>
    <w:p>
      <w:pPr>
        <w:pStyle w:val="ListBullet"/>
      </w:pPr>
      <w:r>
        <w:t>Voluntary AI Safety Standard: https://www.industry.gov.au/publications/voluntary-ai-safety-standard</w:t>
      </w:r>
    </w:p>
    <w:p>
      <w:pPr>
        <w:pStyle w:val="ListBullet"/>
      </w:pPr>
      <w:r>
        <w:t>Online Safety Act 2021 (Cth): https://www.legislation.gov.au/Series/C2021A00076</w:t>
      </w:r>
    </w:p>
    <w:p>
      <w:pPr>
        <w:pStyle w:val="ListBullet"/>
      </w:pPr>
      <w:r>
        <w:t>eSafety industry regulation: https://www.esafety.gov.au/about-us/industry-regulation</w:t>
      </w:r>
    </w:p>
    <w:p>
      <w:pPr>
        <w:pStyle w:val="Heading2"/>
      </w:pPr>
      <w:r>
        <w:t>International conditional references</w:t>
      </w:r>
    </w:p>
    <w:p>
      <w:pPr>
        <w:pStyle w:val="ListBullet"/>
      </w:pPr>
      <w:r>
        <w:t>EU GDPR official text: https://eur-lex.europa.eu/eli/reg/2016/679/oj/eng</w:t>
      </w:r>
    </w:p>
    <w:p>
      <w:pPr>
        <w:pStyle w:val="ListBullet"/>
      </w:pPr>
      <w:r>
        <w:t>UK ICO cookies and storage/access guidance: https://ico.org.uk/for-organisations/direct-marketing-and-privacy-and-electronic-communications/guidance-on-the-use-of-storage-and-access-technologies/</w:t>
      </w:r>
    </w:p>
    <w:p>
      <w:pPr>
        <w:pStyle w:val="ListBullet"/>
      </w:pPr>
      <w:r>
        <w:t>California Privacy Protection Agency: https://cppa.ca.gov/</w:t>
      </w:r>
    </w:p>
    <w:p>
      <w:pPr>
        <w:pStyle w:val="Heading2"/>
      </w:pPr>
      <w:r>
        <w:t>Business identity</w:t>
      </w:r>
    </w:p>
    <w:p>
      <w:pPr>
        <w:pStyle w:val="ListBullet"/>
      </w:pPr>
      <w:r>
        <w:t>ABN Lookup - ABN 26 569 038 118: https://abr.business.gov.au/ABN/View/26569038118</w:t>
      </w:r>
    </w:p>
    <w:p>
      <w:pPr>
        <w:pStyle w:val="ListBullet"/>
      </w:pPr>
      <w:r>
        <w:t>ASIC - Register a business name: https://www.asic.gov.au/for-business-and-companies/business-names/register-a-business-name/</w:t>
      </w:r>
    </w:p>
    <w:p>
      <w:pPr>
        <w:pStyle w:val="Heading2"/>
      </w:pPr>
      <w:r>
        <w:t>Review notes</w:t>
      </w:r>
    </w:p>
    <w:p>
      <w:pPr>
        <w:ind w:left="340" w:hanging="340"/>
      </w:pPr>
      <w:r>
        <w:t>1. The suite deliberately avoids claiming that the operator is a company.</w:t>
      </w:r>
    </w:p>
    <w:p>
      <w:pPr>
        <w:ind w:left="340" w:hanging="340"/>
      </w:pPr>
      <w:r>
        <w:t>2. It does not use blanket website access as consent to all data processing.</w:t>
      </w:r>
    </w:p>
    <w:p>
      <w:pPr>
        <w:ind w:left="340" w:hanging="340"/>
      </w:pPr>
      <w:r>
        <w:t>3. It preserves Australian Consumer Law rights and avoids absolute security or patent claims.</w:t>
      </w:r>
    </w:p>
    <w:p>
      <w:pPr>
        <w:ind w:left="340" w:hanging="340"/>
      </w:pPr>
      <w:r>
        <w:t>4. It treats global privacy laws as conditional rather than automatically applicable.</w:t>
      </w:r>
    </w:p>
    <w:p>
      <w:pPr>
        <w:ind w:left="340" w:hanging="340"/>
      </w:pPr>
      <w:r>
        <w:t>5. It requires an actual cookie and provider audit before publication.</w:t>
      </w:r>
    </w:p>
    <w:p>
      <w:pPr>
        <w:ind w:left="340" w:hanging="340"/>
      </w:pPr>
      <w:r>
        <w:t>6. It prepares for Australian automated-decision privacy-policy requirements commencing 10 December 2026.</w:t>
      </w:r>
    </w:p>
    <w:p>
      <w:pPr>
        <w:ind w:left="340" w:hanging="340"/>
      </w:pPr>
      <w:r>
        <w:t>7. It treats hashes, signatures and timestamps as supporting evidence rather than conclusive legal proof.</w:t>
      </w:r>
    </w:p>
    <w:p>
      <w:r>
        <w:br w:type="page"/>
      </w:r>
    </w:p>
    <w:p>
      <w:pPr>
        <w:pStyle w:val="Heading1"/>
      </w:pPr>
      <w:r>
        <w:t>FINAL PUBLICATION APPROVAL RECORD</w:t>
      </w:r>
    </w:p>
    <w:p>
      <w:r>
        <w:t>This record must be completed after legal and technical verification. It is not an electronic signature field by itself.</w:t>
      </w:r>
    </w:p>
    <w:tbl>
      <w:tblPr>
        <w:tblStyle w:val="TableGrid"/>
        <w:tblW w:type="auto" w:w="0"/>
        <w:jc w:val="center"/>
        <w:tblLook w:firstColumn="1" w:firstRow="1" w:lastColumn="0" w:lastRow="0" w:noHBand="0" w:noVBand="1" w:val="04A0"/>
      </w:tblPr>
      <w:tblGrid>
        <w:gridCol w:w="4819"/>
        <w:gridCol w:w="4819"/>
      </w:tblGrid>
      <w:tr>
        <w:trPr>
          <w:tblHeader w:val="true"/>
        </w:trPr>
        <w:tc>
          <w:tcPr>
            <w:tcW w:type="dxa" w:w="4819"/>
            <w:vAlign w:val="center"/>
          </w:tcPr>
          <w:p>
            <w:r/>
            <w:r>
              <w:rPr>
                <w:rFonts w:ascii="Arial" w:hAnsi="Arial"/>
                <w:b/>
                <w:sz w:val="18"/>
              </w:rPr>
              <w:t>Legal review completed by</w:t>
            </w:r>
          </w:p>
        </w:tc>
        <w:tc>
          <w:tcPr>
            <w:tcW w:type="dxa" w:w="4819"/>
            <w:vAlign w:val="center"/>
          </w:tcPr>
          <w:p>
            <w:r/>
            <w:r>
              <w:rPr>
                <w:rFonts w:ascii="Arial" w:hAnsi="Arial"/>
                <w:b w:val="0"/>
                <w:sz w:val="18"/>
              </w:rPr>
              <w:t>[INSERT NAME, FIRM AND DATE]</w:t>
            </w:r>
          </w:p>
        </w:tc>
      </w:tr>
      <w:tr>
        <w:tc>
          <w:tcPr>
            <w:tcW w:type="dxa" w:w="4819"/>
            <w:vAlign w:val="center"/>
          </w:tcPr>
          <w:p>
            <w:r/>
            <w:r>
              <w:rPr>
                <w:rFonts w:ascii="Arial" w:hAnsi="Arial"/>
                <w:b/>
                <w:sz w:val="18"/>
              </w:rPr>
              <w:t>Privacy/data-flow audit completed by</w:t>
            </w:r>
          </w:p>
        </w:tc>
        <w:tc>
          <w:tcPr>
            <w:tcW w:type="dxa" w:w="4819"/>
            <w:vAlign w:val="center"/>
          </w:tcPr>
          <w:p>
            <w:r/>
            <w:r>
              <w:rPr>
                <w:rFonts w:ascii="Arial" w:hAnsi="Arial"/>
                <w:b w:val="0"/>
                <w:sz w:val="18"/>
              </w:rPr>
              <w:t>[INSERT NAME AND DATE]</w:t>
            </w:r>
          </w:p>
        </w:tc>
      </w:tr>
      <w:tr>
        <w:tc>
          <w:tcPr>
            <w:tcW w:type="dxa" w:w="4819"/>
            <w:vAlign w:val="center"/>
          </w:tcPr>
          <w:p>
            <w:r/>
            <w:r>
              <w:rPr>
                <w:rFonts w:ascii="Arial" w:hAnsi="Arial"/>
                <w:b/>
                <w:sz w:val="18"/>
              </w:rPr>
              <w:t>Cookie/script audit completed by</w:t>
            </w:r>
          </w:p>
        </w:tc>
        <w:tc>
          <w:tcPr>
            <w:tcW w:type="dxa" w:w="4819"/>
            <w:vAlign w:val="center"/>
          </w:tcPr>
          <w:p>
            <w:r/>
            <w:r>
              <w:rPr>
                <w:rFonts w:ascii="Arial" w:hAnsi="Arial"/>
                <w:b w:val="0"/>
                <w:sz w:val="18"/>
              </w:rPr>
              <w:t>[INSERT NAME AND DATE]</w:t>
            </w:r>
          </w:p>
        </w:tc>
      </w:tr>
      <w:tr>
        <w:tc>
          <w:tcPr>
            <w:tcW w:type="dxa" w:w="4819"/>
            <w:vAlign w:val="center"/>
          </w:tcPr>
          <w:p>
            <w:r/>
            <w:r>
              <w:rPr>
                <w:rFonts w:ascii="Arial" w:hAnsi="Arial"/>
                <w:b/>
                <w:sz w:val="18"/>
              </w:rPr>
              <w:t>Security claims verified by</w:t>
            </w:r>
          </w:p>
        </w:tc>
        <w:tc>
          <w:tcPr>
            <w:tcW w:type="dxa" w:w="4819"/>
            <w:vAlign w:val="center"/>
          </w:tcPr>
          <w:p>
            <w:r/>
            <w:r>
              <w:rPr>
                <w:rFonts w:ascii="Arial" w:hAnsi="Arial"/>
                <w:b w:val="0"/>
                <w:sz w:val="18"/>
              </w:rPr>
              <w:t>[INSERT NAME AND DATE]</w:t>
            </w:r>
          </w:p>
        </w:tc>
      </w:tr>
      <w:tr>
        <w:tc>
          <w:tcPr>
            <w:tcW w:type="dxa" w:w="4819"/>
            <w:vAlign w:val="center"/>
          </w:tcPr>
          <w:p>
            <w:r/>
            <w:r>
              <w:rPr>
                <w:rFonts w:ascii="Arial" w:hAnsi="Arial"/>
                <w:b/>
                <w:sz w:val="18"/>
              </w:rPr>
              <w:t>Business name and legal identity verified</w:t>
            </w:r>
          </w:p>
        </w:tc>
        <w:tc>
          <w:tcPr>
            <w:tcW w:type="dxa" w:w="4819"/>
            <w:vAlign w:val="center"/>
          </w:tcPr>
          <w:p>
            <w:r/>
            <w:r>
              <w:rPr>
                <w:rFonts w:ascii="Arial" w:hAnsi="Arial"/>
                <w:b w:val="0"/>
                <w:sz w:val="18"/>
              </w:rPr>
              <w:t>[PASS / FAIL / EVIDENCE REFERENCE]</w:t>
            </w:r>
          </w:p>
        </w:tc>
      </w:tr>
      <w:tr>
        <w:tc>
          <w:tcPr>
            <w:tcW w:type="dxa" w:w="4819"/>
            <w:vAlign w:val="center"/>
          </w:tcPr>
          <w:p>
            <w:r/>
            <w:r>
              <w:rPr>
                <w:rFonts w:ascii="Arial" w:hAnsi="Arial"/>
                <w:b/>
                <w:sz w:val="18"/>
              </w:rPr>
              <w:t>All bracketed fields completed</w:t>
            </w:r>
          </w:p>
        </w:tc>
        <w:tc>
          <w:tcPr>
            <w:tcW w:type="dxa" w:w="4819"/>
            <w:vAlign w:val="center"/>
          </w:tcPr>
          <w:p>
            <w:r/>
            <w:r>
              <w:rPr>
                <w:rFonts w:ascii="Arial" w:hAnsi="Arial"/>
                <w:b w:val="0"/>
                <w:sz w:val="18"/>
              </w:rPr>
              <w:t>[PASS / FAIL]</w:t>
            </w:r>
          </w:p>
        </w:tc>
      </w:tr>
      <w:tr>
        <w:tc>
          <w:tcPr>
            <w:tcW w:type="dxa" w:w="4819"/>
            <w:vAlign w:val="center"/>
          </w:tcPr>
          <w:p>
            <w:r/>
            <w:r>
              <w:rPr>
                <w:rFonts w:ascii="Arial" w:hAnsi="Arial"/>
                <w:b/>
                <w:sz w:val="18"/>
              </w:rPr>
              <w:t>Final approved version hash</w:t>
            </w:r>
          </w:p>
        </w:tc>
        <w:tc>
          <w:tcPr>
            <w:tcW w:type="dxa" w:w="4819"/>
            <w:vAlign w:val="center"/>
          </w:tcPr>
          <w:p>
            <w:r/>
            <w:r>
              <w:rPr>
                <w:rFonts w:ascii="Arial" w:hAnsi="Arial"/>
                <w:b w:val="0"/>
                <w:sz w:val="18"/>
              </w:rPr>
              <w:t>[INSERT SHA-256 AND SHA3-256]</w:t>
            </w:r>
          </w:p>
        </w:tc>
      </w:tr>
      <w:tr>
        <w:tc>
          <w:tcPr>
            <w:tcW w:type="dxa" w:w="4819"/>
            <w:vAlign w:val="center"/>
          </w:tcPr>
          <w:p>
            <w:r/>
            <w:r>
              <w:rPr>
                <w:rFonts w:ascii="Arial" w:hAnsi="Arial"/>
                <w:b/>
                <w:sz w:val="18"/>
              </w:rPr>
              <w:t>Final human release approval</w:t>
            </w:r>
          </w:p>
        </w:tc>
        <w:tc>
          <w:tcPr>
            <w:tcW w:type="dxa" w:w="4819"/>
            <w:vAlign w:val="center"/>
          </w:tcPr>
          <w:p>
            <w:r/>
            <w:r>
              <w:rPr>
                <w:rFonts w:ascii="Arial" w:hAnsi="Arial"/>
                <w:b w:val="0"/>
                <w:sz w:val="18"/>
              </w:rPr>
              <w:t>Michael Phillip Peters - [SIGN/DATE]</w:t>
            </w:r>
          </w:p>
        </w:tc>
      </w:tr>
    </w:tbl>
    <w:sectPr w:rsidR="00FC693F" w:rsidRPr="0006063C" w:rsidSect="00034616">
      <w:headerReference w:type="default" r:id="rId9"/>
      <w:footerReference w:type="default" r:id="rId10"/>
      <w:pgSz w:w="11906" w:h="16838"/>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color w:val="646464"/>
        <w:sz w:val="15"/>
      </w:rPr>
      <w:t xml:space="preserve">COUNSEL-REVIEW DRAFT | 29 July 2026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color w:val="646464"/>
        <w:sz w:val="15"/>
      </w:rPr>
      <w:t>ENTERPRISE CORPORATED | WEBSITE LEGAL SUITE | EC-WEB-LEGAL-SUITE-20260729-V1.0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rial" w:hAnsi="Arial"/>
      <w:b/>
      <w:bCs/>
      <w:color w:val="365F9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0"/>
      <w:contextualSpacing/>
    </w:pPr>
    <w:rPr>
      <w:rFonts w:asciiTheme="majorHAnsi" w:eastAsiaTheme="majorEastAsia" w:hAnsiTheme="majorHAnsi" w:cstheme="majorBidi" w:ascii="Arial" w:hAnsi="Arial"/>
      <w:b/>
      <w:color w:val="17365D"/>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Note">
    <w:name w:val="Legal Note"/>
    <w:pPr>
      <w:spacing w:after="120"/>
      <w:ind w:left="454" w:right="454"/>
    </w:pPr>
    <w:rPr>
      <w:rFonts w:ascii="Arial" w:hAnsi="Arial"/>
      <w:i/>
      <w:color w:val="5A5A5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